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97606" w14:textId="77777777" w:rsidR="0004607F" w:rsidRDefault="0004607F" w:rsidP="00B83F26">
      <w:pPr>
        <w:jc w:val="center"/>
        <w:rPr>
          <w:b/>
          <w:sz w:val="40"/>
          <w:szCs w:val="40"/>
        </w:rPr>
      </w:pPr>
    </w:p>
    <w:p w14:paraId="0A21861F" w14:textId="77777777"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PROJEKTANTA</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174121D6"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b/>
          <w:sz w:val="22"/>
          <w:szCs w:val="22"/>
        </w:rPr>
      </w:pPr>
      <w:r w:rsidRPr="00DC3B65">
        <w:rPr>
          <w:rFonts w:ascii="Arial" w:hAnsi="Arial" w:cs="Arial"/>
          <w:b/>
          <w:sz w:val="22"/>
          <w:szCs w:val="22"/>
        </w:rPr>
        <w:t>Česká republika - Státní pozemkový úřad</w:t>
      </w:r>
    </w:p>
    <w:p w14:paraId="38BBDA58"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b/>
          <w:sz w:val="22"/>
          <w:szCs w:val="22"/>
        </w:rPr>
      </w:pPr>
      <w:r w:rsidRPr="00DC3B65">
        <w:rPr>
          <w:rFonts w:ascii="Arial" w:hAnsi="Arial" w:cs="Arial"/>
          <w:b/>
          <w:sz w:val="22"/>
          <w:szCs w:val="22"/>
        </w:rPr>
        <w:t>Sídlo: Husinecká 1024/11a, 130 00 Praha 3</w:t>
      </w:r>
    </w:p>
    <w:p w14:paraId="19B44660"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b/>
          <w:sz w:val="22"/>
          <w:szCs w:val="22"/>
        </w:rPr>
      </w:pPr>
      <w:r w:rsidRPr="00DC3B65">
        <w:rPr>
          <w:rFonts w:ascii="Arial" w:hAnsi="Arial" w:cs="Arial"/>
          <w:b/>
          <w:sz w:val="22"/>
          <w:szCs w:val="22"/>
        </w:rPr>
        <w:t>Krajský pozemkový úřad pro Pardubický kraj,</w:t>
      </w:r>
    </w:p>
    <w:p w14:paraId="33FC93A3"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sz w:val="22"/>
          <w:szCs w:val="22"/>
        </w:rPr>
      </w:pPr>
      <w:r w:rsidRPr="00DC3B65">
        <w:rPr>
          <w:rFonts w:ascii="Arial" w:hAnsi="Arial" w:cs="Arial"/>
          <w:b/>
          <w:sz w:val="22"/>
          <w:szCs w:val="22"/>
        </w:rPr>
        <w:t>Pobočka Ústí nad Orlicí</w:t>
      </w:r>
      <w:r w:rsidRPr="00DC3B65">
        <w:rPr>
          <w:rFonts w:ascii="Arial" w:hAnsi="Arial" w:cs="Arial"/>
          <w:sz w:val="22"/>
          <w:szCs w:val="22"/>
        </w:rPr>
        <w:tab/>
      </w:r>
    </w:p>
    <w:p w14:paraId="7BB8A7FB"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hAnsi="Arial" w:cs="Arial"/>
          <w:sz w:val="22"/>
          <w:szCs w:val="22"/>
        </w:rPr>
        <w:t xml:space="preserve">      </w:t>
      </w:r>
      <w:r w:rsidRPr="00DC3B65">
        <w:rPr>
          <w:rFonts w:ascii="Arial" w:hAnsi="Arial" w:cs="Arial"/>
          <w:b/>
          <w:sz w:val="22"/>
          <w:szCs w:val="22"/>
        </w:rPr>
        <w:t xml:space="preserve">Adresa: </w:t>
      </w:r>
      <w:bookmarkStart w:id="0" w:name="_Hlk13731947"/>
      <w:r w:rsidRPr="00DC3B65">
        <w:rPr>
          <w:rFonts w:ascii="Arial" w:eastAsia="Lucida Sans Unicode" w:hAnsi="Arial" w:cs="Arial"/>
          <w:sz w:val="22"/>
          <w:szCs w:val="22"/>
        </w:rPr>
        <w:t>Tvardkova 1191, 562 01 Ústí nad Orlicí</w:t>
      </w:r>
      <w:bookmarkEnd w:id="0"/>
    </w:p>
    <w:p w14:paraId="76114B3B" w14:textId="77777777" w:rsidR="00DC3B65" w:rsidRPr="00DC3B65" w:rsidRDefault="00DC3B65" w:rsidP="00DC3B65">
      <w:pPr>
        <w:overflowPunct w:val="0"/>
        <w:autoSpaceDE w:val="0"/>
        <w:autoSpaceDN w:val="0"/>
        <w:adjustRightInd w:val="0"/>
        <w:spacing w:line="276" w:lineRule="auto"/>
        <w:jc w:val="both"/>
        <w:textAlignment w:val="baseline"/>
        <w:rPr>
          <w:rFonts w:ascii="Arial" w:hAnsi="Arial" w:cs="Arial"/>
          <w:sz w:val="22"/>
          <w:szCs w:val="22"/>
        </w:rPr>
      </w:pP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r w:rsidRPr="00DC3B65">
        <w:rPr>
          <w:rFonts w:ascii="Arial" w:hAnsi="Arial" w:cs="Arial"/>
          <w:sz w:val="22"/>
          <w:szCs w:val="22"/>
        </w:rPr>
        <w:tab/>
      </w:r>
    </w:p>
    <w:p w14:paraId="10800ACD" w14:textId="72D5D24A"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zastoupený:</w:t>
      </w:r>
      <w:r w:rsidRPr="00DC3B65">
        <w:rPr>
          <w:rFonts w:ascii="Arial" w:eastAsia="Lucida Sans Unicode" w:hAnsi="Arial" w:cs="Arial"/>
          <w:sz w:val="22"/>
          <w:szCs w:val="22"/>
        </w:rPr>
        <w:tab/>
        <w:t xml:space="preserve">Ing. Hanou Jeníčkovou, Ph.D. – vedoucí </w:t>
      </w:r>
      <w:r>
        <w:rPr>
          <w:rFonts w:ascii="Arial" w:eastAsia="Lucida Sans Unicode" w:hAnsi="Arial" w:cs="Arial"/>
          <w:sz w:val="22"/>
          <w:szCs w:val="22"/>
        </w:rPr>
        <w:tab/>
      </w:r>
      <w:r w:rsidRPr="00DC3B65">
        <w:rPr>
          <w:rFonts w:ascii="Arial" w:eastAsia="Lucida Sans Unicode" w:hAnsi="Arial" w:cs="Arial"/>
          <w:sz w:val="22"/>
          <w:szCs w:val="22"/>
        </w:rPr>
        <w:t>pobočky Ústí nad Orlicí</w:t>
      </w:r>
    </w:p>
    <w:p w14:paraId="1B2B1166" w14:textId="587927A9"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w:t>
      </w:r>
      <w:bookmarkStart w:id="1" w:name="_Hlk13731963"/>
      <w:r w:rsidRPr="00DC3B65">
        <w:rPr>
          <w:rFonts w:ascii="Arial" w:eastAsia="Lucida Sans Unicode" w:hAnsi="Arial" w:cs="Arial"/>
          <w:sz w:val="22"/>
          <w:szCs w:val="22"/>
        </w:rPr>
        <w:t>ve smluvních záležitostech oprávněn jednat:  Ing. Hana Jeníčková, Ph.D</w:t>
      </w:r>
      <w:bookmarkEnd w:id="1"/>
    </w:p>
    <w:p w14:paraId="5E472F00" w14:textId="3AF36F76" w:rsidR="00DC3B65" w:rsidRPr="00DC3B65" w:rsidRDefault="00DC3B65" w:rsidP="00DC3B65">
      <w:pPr>
        <w:widowControl w:val="0"/>
        <w:tabs>
          <w:tab w:val="left" w:pos="4536"/>
        </w:tabs>
        <w:suppressAutoHyphens/>
        <w:ind w:left="426" w:hanging="426"/>
        <w:rPr>
          <w:rFonts w:ascii="Arial" w:eastAsia="Lucida Sans Unicode" w:hAnsi="Arial" w:cs="Arial"/>
          <w:sz w:val="22"/>
          <w:szCs w:val="22"/>
        </w:rPr>
      </w:pPr>
      <w:r>
        <w:rPr>
          <w:rFonts w:ascii="Arial" w:eastAsia="Lucida Sans Unicode" w:hAnsi="Arial" w:cs="Arial"/>
          <w:sz w:val="22"/>
          <w:szCs w:val="22"/>
        </w:rPr>
        <w:tab/>
      </w:r>
      <w:r w:rsidRPr="00DC3B65">
        <w:rPr>
          <w:rFonts w:ascii="Arial" w:eastAsia="Lucida Sans Unicode" w:hAnsi="Arial" w:cs="Arial"/>
          <w:sz w:val="22"/>
          <w:szCs w:val="22"/>
        </w:rPr>
        <w:t>v technických záležitostech oprávněn jednat:  Ing. Alexandr Mikuláš, Ing. Renata Čadová, pobočka Ústí nad Orlicí (tel. 601 584 039, r.cadova@spucr.cz)</w:t>
      </w:r>
    </w:p>
    <w:p w14:paraId="6BE2EEA3"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ab/>
        <w:t xml:space="preserve">  </w:t>
      </w:r>
      <w:r w:rsidRPr="00DC3B65">
        <w:rPr>
          <w:rFonts w:ascii="Arial" w:eastAsia="Lucida Sans Unicode" w:hAnsi="Arial" w:cs="Arial"/>
          <w:sz w:val="22"/>
          <w:szCs w:val="22"/>
        </w:rPr>
        <w:tab/>
      </w:r>
    </w:p>
    <w:p w14:paraId="7BE9C2AC"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Tel.:</w:t>
      </w:r>
      <w:r w:rsidRPr="00DC3B65">
        <w:rPr>
          <w:rFonts w:ascii="Arial" w:eastAsia="Lucida Sans Unicode" w:hAnsi="Arial" w:cs="Arial"/>
          <w:sz w:val="22"/>
          <w:szCs w:val="22"/>
        </w:rPr>
        <w:tab/>
        <w:t>+420 601 584 039</w:t>
      </w:r>
      <w:r w:rsidRPr="00DC3B65">
        <w:rPr>
          <w:rFonts w:ascii="Arial" w:eastAsia="Lucida Sans Unicode" w:hAnsi="Arial" w:cs="Arial"/>
          <w:sz w:val="22"/>
          <w:szCs w:val="22"/>
        </w:rPr>
        <w:tab/>
      </w:r>
      <w:r w:rsidRPr="00DC3B65">
        <w:rPr>
          <w:rFonts w:ascii="Arial" w:eastAsia="Lucida Sans Unicode" w:hAnsi="Arial" w:cs="Arial"/>
          <w:sz w:val="22"/>
          <w:szCs w:val="22"/>
        </w:rPr>
        <w:tab/>
        <w:t xml:space="preserve"> </w:t>
      </w:r>
    </w:p>
    <w:p w14:paraId="51DE2A35"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E-mail:</w:t>
      </w:r>
      <w:r w:rsidRPr="00DC3B65">
        <w:rPr>
          <w:rFonts w:ascii="Arial" w:eastAsia="Lucida Sans Unicode" w:hAnsi="Arial" w:cs="Arial"/>
          <w:sz w:val="22"/>
          <w:szCs w:val="22"/>
        </w:rPr>
        <w:tab/>
        <w:t xml:space="preserve">ustino.pk@spucr.cz </w:t>
      </w:r>
    </w:p>
    <w:p w14:paraId="5306187B"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ID DS:</w:t>
      </w:r>
      <w:r w:rsidRPr="00DC3B65">
        <w:rPr>
          <w:rFonts w:ascii="Arial" w:eastAsia="Lucida Sans Unicode" w:hAnsi="Arial" w:cs="Arial"/>
          <w:sz w:val="22"/>
          <w:szCs w:val="22"/>
        </w:rPr>
        <w:tab/>
        <w:t>z49per3</w:t>
      </w:r>
    </w:p>
    <w:p w14:paraId="2BE60FBC" w14:textId="77777777" w:rsidR="00DC3B65" w:rsidRPr="00DC3B65" w:rsidRDefault="00DC3B65" w:rsidP="00DC3B65">
      <w:pPr>
        <w:widowControl w:val="0"/>
        <w:tabs>
          <w:tab w:val="left" w:pos="4536"/>
        </w:tabs>
        <w:suppressAutoHyphens/>
        <w:rPr>
          <w:rFonts w:ascii="Arial" w:eastAsia="Lucida Sans Unicode" w:hAnsi="Arial" w:cs="Arial"/>
          <w:sz w:val="22"/>
          <w:szCs w:val="22"/>
        </w:rPr>
      </w:pPr>
      <w:r w:rsidRPr="00DC3B65">
        <w:rPr>
          <w:rFonts w:ascii="Arial" w:eastAsia="Lucida Sans Unicode" w:hAnsi="Arial" w:cs="Arial"/>
          <w:sz w:val="22"/>
          <w:szCs w:val="22"/>
        </w:rPr>
        <w:t xml:space="preserve">      Bankovní spojení:</w:t>
      </w:r>
      <w:r w:rsidRPr="00DC3B65">
        <w:rPr>
          <w:rFonts w:ascii="Arial" w:eastAsia="Lucida Sans Unicode" w:hAnsi="Arial" w:cs="Arial"/>
          <w:sz w:val="22"/>
          <w:szCs w:val="22"/>
        </w:rPr>
        <w:tab/>
        <w:t xml:space="preserve">ČNB </w:t>
      </w:r>
      <w:r w:rsidRPr="00DC3B65">
        <w:rPr>
          <w:rFonts w:ascii="Arial" w:eastAsia="Lucida Sans Unicode" w:hAnsi="Arial" w:cs="Arial"/>
          <w:sz w:val="22"/>
          <w:szCs w:val="22"/>
        </w:rPr>
        <w:tab/>
      </w:r>
    </w:p>
    <w:p w14:paraId="33F66C19" w14:textId="77777777" w:rsidR="00DC3B65" w:rsidRPr="00DC3B65" w:rsidRDefault="00DC3B65" w:rsidP="00DC3B65">
      <w:pPr>
        <w:widowControl w:val="0"/>
        <w:tabs>
          <w:tab w:val="left" w:pos="4536"/>
        </w:tabs>
        <w:suppressAutoHyphens/>
        <w:rPr>
          <w:rFonts w:ascii="Arial" w:eastAsia="Lucida Sans Unicode" w:hAnsi="Arial" w:cs="Arial"/>
          <w:bCs/>
          <w:sz w:val="22"/>
          <w:szCs w:val="22"/>
        </w:rPr>
      </w:pPr>
      <w:r w:rsidRPr="00DC3B65">
        <w:rPr>
          <w:rFonts w:ascii="Arial" w:eastAsia="Lucida Sans Unicode" w:hAnsi="Arial" w:cs="Arial"/>
          <w:bCs/>
          <w:sz w:val="22"/>
          <w:szCs w:val="22"/>
        </w:rPr>
        <w:t xml:space="preserve">      Číslo účtu:</w:t>
      </w:r>
      <w:r w:rsidRPr="00DC3B65">
        <w:rPr>
          <w:rFonts w:ascii="Arial" w:eastAsia="Lucida Sans Unicode" w:hAnsi="Arial" w:cs="Arial"/>
          <w:bCs/>
          <w:sz w:val="22"/>
          <w:szCs w:val="22"/>
        </w:rPr>
        <w:tab/>
        <w:t>3723001/0710</w:t>
      </w:r>
    </w:p>
    <w:p w14:paraId="0F9DDBE5" w14:textId="77777777" w:rsidR="00DC3B65" w:rsidRPr="00DC3B65" w:rsidRDefault="00DC3B65" w:rsidP="00DC3B65">
      <w:pPr>
        <w:widowControl w:val="0"/>
        <w:tabs>
          <w:tab w:val="left" w:pos="4536"/>
        </w:tabs>
        <w:suppressAutoHyphens/>
        <w:rPr>
          <w:rFonts w:ascii="Arial" w:eastAsia="Lucida Sans Unicode" w:hAnsi="Arial" w:cs="Arial"/>
          <w:bCs/>
          <w:sz w:val="22"/>
          <w:szCs w:val="22"/>
        </w:rPr>
      </w:pPr>
      <w:r w:rsidRPr="00DC3B65">
        <w:rPr>
          <w:rFonts w:ascii="Arial" w:eastAsia="Lucida Sans Unicode" w:hAnsi="Arial" w:cs="Arial"/>
          <w:bCs/>
          <w:sz w:val="22"/>
          <w:szCs w:val="22"/>
        </w:rPr>
        <w:t xml:space="preserve">      IČ:</w:t>
      </w:r>
      <w:r w:rsidRPr="00DC3B65">
        <w:rPr>
          <w:rFonts w:ascii="Arial" w:eastAsia="Lucida Sans Unicode" w:hAnsi="Arial" w:cs="Arial"/>
          <w:bCs/>
          <w:sz w:val="22"/>
          <w:szCs w:val="22"/>
        </w:rPr>
        <w:tab/>
        <w:t xml:space="preserve">01312774                                                                 </w:t>
      </w:r>
    </w:p>
    <w:p w14:paraId="36098761" w14:textId="77777777" w:rsidR="00DC3B65" w:rsidRPr="00DC3B65" w:rsidRDefault="00DC3B65" w:rsidP="00DC3B65">
      <w:pPr>
        <w:widowControl w:val="0"/>
        <w:tabs>
          <w:tab w:val="left" w:pos="4536"/>
        </w:tabs>
        <w:suppressAutoHyphens/>
        <w:rPr>
          <w:rFonts w:ascii="Arial" w:eastAsia="Lucida Sans Unicode" w:hAnsi="Arial" w:cs="Arial"/>
          <w:bCs/>
          <w:sz w:val="22"/>
          <w:szCs w:val="22"/>
        </w:rPr>
      </w:pPr>
      <w:r w:rsidRPr="00DC3B65">
        <w:rPr>
          <w:rFonts w:ascii="Arial" w:eastAsia="Lucida Sans Unicode" w:hAnsi="Arial" w:cs="Arial"/>
          <w:bCs/>
          <w:sz w:val="22"/>
          <w:szCs w:val="22"/>
        </w:rPr>
        <w:t xml:space="preserve">      DIČ:</w:t>
      </w:r>
      <w:r w:rsidRPr="00DC3B65">
        <w:rPr>
          <w:rFonts w:ascii="Arial" w:eastAsia="Lucida Sans Unicode" w:hAnsi="Arial" w:cs="Arial"/>
          <w:bCs/>
          <w:sz w:val="22"/>
          <w:szCs w:val="22"/>
        </w:rPr>
        <w:tab/>
        <w:t xml:space="preserve">není plátcem DPH </w:t>
      </w:r>
    </w:p>
    <w:p w14:paraId="6E8498DA" w14:textId="77777777" w:rsidR="00B83F26" w:rsidRPr="00D53952" w:rsidRDefault="00B83F26" w:rsidP="00B83F26">
      <w:pPr>
        <w:pStyle w:val="Nadpis2"/>
        <w:spacing w:line="240" w:lineRule="auto"/>
        <w:rPr>
          <w:rFonts w:ascii="Arial" w:hAnsi="Arial" w:cs="Arial"/>
          <w:bCs/>
          <w:sz w:val="22"/>
          <w:szCs w:val="22"/>
        </w:rPr>
      </w:pPr>
      <w:r w:rsidRPr="00D53952">
        <w:rPr>
          <w:rFonts w:ascii="Arial" w:hAnsi="Arial" w:cs="Arial"/>
          <w:bCs/>
          <w:sz w:val="22"/>
          <w:szCs w:val="22"/>
        </w:rPr>
        <w:tab/>
        <w:t xml:space="preserve">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lastRenderedPageBreak/>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740A0BDF"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 xml:space="preserve">Objednatel je stavebníkem stavby specifikované v čl. II. odst. 2. této smlouvy, nad jejímž prováděním je nutné dle ustanovení § 152 odst. 4 zákona č. 183/2006 Sb., o územním plánování a stavebním řádu, v platném znění zajistit </w:t>
      </w:r>
      <w:r w:rsidRPr="00D53952">
        <w:rPr>
          <w:rFonts w:ascii="Arial" w:hAnsi="Arial" w:cs="Arial"/>
          <w:b/>
          <w:sz w:val="22"/>
          <w:szCs w:val="22"/>
        </w:rPr>
        <w:t>autorský dozor projektanta</w:t>
      </w:r>
      <w:r w:rsidR="002B171C">
        <w:rPr>
          <w:rFonts w:ascii="Arial" w:hAnsi="Arial" w:cs="Arial"/>
          <w:b/>
          <w:sz w:val="22"/>
          <w:szCs w:val="22"/>
        </w:rPr>
        <w:t xml:space="preserve">, tj. </w:t>
      </w:r>
      <w:r w:rsidRPr="00D53952">
        <w:rPr>
          <w:rFonts w:ascii="Arial" w:hAnsi="Arial" w:cs="Arial"/>
          <w:sz w:val="22"/>
          <w:szCs w:val="22"/>
        </w:rPr>
        <w:t xml:space="preserve"> zhotovitele projektové dokumentace 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2266B509"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1D363B" w:rsidRPr="00D53952">
        <w:rPr>
          <w:rFonts w:ascii="Arial" w:hAnsi="Arial" w:cs="Arial"/>
          <w:b/>
          <w:sz w:val="22"/>
          <w:szCs w:val="22"/>
        </w:rPr>
        <w:t>projektanta</w:t>
      </w:r>
      <w:r w:rsidR="002B171C" w:rsidRPr="002B171C">
        <w:t xml:space="preserve"> </w:t>
      </w:r>
      <w:r w:rsidR="002B171C" w:rsidRPr="002B171C">
        <w:rPr>
          <w:rFonts w:ascii="Arial" w:hAnsi="Arial" w:cs="Arial"/>
          <w:sz w:val="22"/>
          <w:szCs w:val="22"/>
        </w:rPr>
        <w:t>při realizaci staveb uvedených v Čl.II. Předmět díla, v rozsahu uvedeném v Čl.III Specifikace díla, které 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75C44811" w14:textId="77777777" w:rsidR="00DC3B65" w:rsidRPr="004D5F78" w:rsidRDefault="00DC3B65" w:rsidP="00DC3B6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stavby:    </w:t>
      </w:r>
      <w:r>
        <w:rPr>
          <w:rFonts w:ascii="Arial" w:hAnsi="Arial" w:cs="Arial"/>
          <w:bCs/>
          <w:snapToGrid w:val="0"/>
          <w:szCs w:val="22"/>
          <w:u w:val="none"/>
          <w:lang w:val="en-US"/>
        </w:rPr>
        <w:t>Společná zařízení v k.ú. Chotěšiny</w:t>
      </w:r>
    </w:p>
    <w:p w14:paraId="060DB98D" w14:textId="77777777" w:rsidR="00DC3B65" w:rsidRPr="004D5F78" w:rsidRDefault="00DC3B65" w:rsidP="00DC3B6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stavby:     </w:t>
      </w:r>
      <w:r>
        <w:rPr>
          <w:rFonts w:ascii="Arial" w:hAnsi="Arial" w:cs="Arial"/>
          <w:bCs/>
          <w:snapToGrid w:val="0"/>
          <w:szCs w:val="22"/>
          <w:u w:val="none"/>
          <w:lang w:val="en-US"/>
        </w:rPr>
        <w:t>k.ú. Chotěšiny, obec České Heřmanice, okres Ústí nad Orlicí</w:t>
      </w:r>
      <w:r w:rsidRPr="004D5F78">
        <w:rPr>
          <w:rStyle w:val="l-L2Char"/>
          <w:rFonts w:cs="Arial"/>
          <w:b w:val="0"/>
          <w:szCs w:val="22"/>
          <w:u w:val="none"/>
        </w:rPr>
        <w:t xml:space="preserve"> </w:t>
      </w:r>
    </w:p>
    <w:p w14:paraId="579415FC" w14:textId="77777777" w:rsidR="00DC3B65" w:rsidRPr="00B77030" w:rsidRDefault="00DC3B65" w:rsidP="00DC3B65">
      <w:pPr>
        <w:pStyle w:val="l-L1"/>
        <w:keepNext w:val="0"/>
        <w:numPr>
          <w:ilvl w:val="0"/>
          <w:numId w:val="0"/>
        </w:numPr>
        <w:spacing w:before="120" w:after="120"/>
        <w:ind w:left="2268" w:hanging="1531"/>
        <w:jc w:val="both"/>
        <w:rPr>
          <w:rStyle w:val="l-L2Char"/>
          <w:rFonts w:cs="Arial"/>
          <w:b w:val="0"/>
          <w:bCs/>
          <w:szCs w:val="22"/>
          <w:u w:val="none"/>
        </w:rPr>
      </w:pPr>
      <w:r w:rsidRPr="004D5F78">
        <w:rPr>
          <w:rStyle w:val="l-L2Char"/>
          <w:rFonts w:cs="Arial"/>
          <w:b w:val="0"/>
          <w:szCs w:val="22"/>
          <w:u w:val="none"/>
        </w:rPr>
        <w:t xml:space="preserve">Popis stavby:     </w:t>
      </w:r>
      <w:r w:rsidRPr="00B77030">
        <w:rPr>
          <w:rFonts w:ascii="Arial" w:hAnsi="Arial" w:cs="Arial"/>
          <w:b w:val="0"/>
          <w:bCs/>
          <w:szCs w:val="22"/>
          <w:u w:val="none"/>
          <w:lang w:val="en-US"/>
        </w:rPr>
        <w:t xml:space="preserve">Předmětem je suchá retenční nádrž VHO2, část cesty VC15 (cca 110 m) a cesta DC20 (86 m), </w:t>
      </w:r>
      <w:r w:rsidRPr="00B77030">
        <w:rPr>
          <w:rFonts w:ascii="Arial" w:eastAsia="Arial" w:hAnsi="Arial"/>
          <w:b w:val="0"/>
          <w:bCs/>
          <w:color w:val="000000"/>
          <w:u w:val="none"/>
        </w:rPr>
        <w:t>VHO1 rozdělení povodí Chotěšiny, cesta VC1 a hrázka PEO1.</w:t>
      </w:r>
      <w:r w:rsidRPr="00B77030">
        <w:rPr>
          <w:rFonts w:ascii="Arial" w:hAnsi="Arial" w:cs="Arial"/>
          <w:b w:val="0"/>
          <w:bCs/>
          <w:szCs w:val="22"/>
          <w:u w:val="none"/>
          <w:lang w:val="en-US"/>
        </w:rPr>
        <w:t xml:space="preserve"> </w:t>
      </w:r>
      <w:r w:rsidRPr="00B77030">
        <w:rPr>
          <w:rStyle w:val="l-L2Char"/>
          <w:rFonts w:cs="Arial"/>
          <w:b w:val="0"/>
          <w:bCs/>
          <w:szCs w:val="22"/>
          <w:u w:val="none"/>
        </w:rPr>
        <w:t xml:space="preserve"> </w:t>
      </w:r>
    </w:p>
    <w:p w14:paraId="21258837" w14:textId="77777777" w:rsidR="00B0493E" w:rsidRPr="00D53952" w:rsidRDefault="000B3316" w:rsidP="00BB4EEA">
      <w:pPr>
        <w:spacing w:before="60" w:line="280" w:lineRule="atLeast"/>
        <w:ind w:firstLine="426"/>
        <w:jc w:val="both"/>
        <w:rPr>
          <w:rFonts w:ascii="Arial" w:hAnsi="Arial" w:cs="Arial"/>
          <w:sz w:val="22"/>
          <w:szCs w:val="22"/>
        </w:rPr>
      </w:pPr>
      <w:r w:rsidRPr="00D53952">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5BC7C362"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Výkonem autorského dozoru zhotovitele projektové dokumentace se zabezpečuje dodržování základních parametrů díla v souladu se stavebním povolením</w:t>
      </w:r>
      <w:r w:rsidR="002B171C">
        <w:rPr>
          <w:rFonts w:ascii="Arial" w:hAnsi="Arial" w:cs="Arial"/>
          <w:b w:val="0"/>
          <w:sz w:val="22"/>
          <w:szCs w:val="22"/>
        </w:rPr>
        <w:t xml:space="preserve">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6B52F060"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152 odst. 4 zákona č. 183/2006 Sb., </w:t>
      </w:r>
      <w:r w:rsidR="00B520B5" w:rsidRPr="00D53952">
        <w:rPr>
          <w:rFonts w:ascii="Arial" w:hAnsi="Arial" w:cs="Arial"/>
          <w:bCs/>
          <w:sz w:val="22"/>
          <w:szCs w:val="22"/>
        </w:rPr>
        <w:br/>
      </w:r>
      <w:r w:rsidRPr="00D53952">
        <w:rPr>
          <w:rFonts w:ascii="Arial" w:hAnsi="Arial" w:cs="Arial"/>
          <w:bCs/>
          <w:sz w:val="22"/>
          <w:szCs w:val="22"/>
        </w:rPr>
        <w:t>o územním plánování a stavebním řádu, v</w:t>
      </w:r>
      <w:r w:rsidR="002B171C">
        <w:rPr>
          <w:rFonts w:ascii="Arial" w:hAnsi="Arial" w:cs="Arial"/>
          <w:bCs/>
          <w:sz w:val="22"/>
          <w:szCs w:val="22"/>
        </w:rPr>
        <w:t>e</w:t>
      </w:r>
      <w:r w:rsidRPr="00D53952">
        <w:rPr>
          <w:rFonts w:ascii="Arial" w:hAnsi="Arial" w:cs="Arial"/>
          <w:bCs/>
          <w:sz w:val="22"/>
          <w:szCs w:val="22"/>
        </w:rPr>
        <w:t> znění</w:t>
      </w:r>
      <w:r w:rsidR="002B171C">
        <w:rPr>
          <w:rFonts w:ascii="Arial" w:hAnsi="Arial" w:cs="Arial"/>
          <w:bCs/>
          <w:sz w:val="22"/>
          <w:szCs w:val="22"/>
        </w:rPr>
        <w:t xml:space="preserve"> pozdějších předpisů</w:t>
      </w:r>
      <w:r w:rsidRPr="00D53952">
        <w:rPr>
          <w:rFonts w:ascii="Arial" w:hAnsi="Arial" w:cs="Arial"/>
          <w:bCs/>
          <w:sz w:val="22"/>
          <w:szCs w:val="22"/>
        </w:rPr>
        <w:t xml:space="preserve">, bude vykonávat autorský dozor nad souladem zhotovované stavby </w:t>
      </w:r>
      <w:r w:rsidRPr="00D53952">
        <w:rPr>
          <w:rFonts w:ascii="Arial" w:hAnsi="Arial" w:cs="Arial"/>
          <w:sz w:val="22"/>
          <w:szCs w:val="22"/>
        </w:rPr>
        <w:t>specifikované v čl. II. odst. 2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7DC9613"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44A2CB8F" w:rsidR="00EF1A5F" w:rsidRPr="00D53952" w:rsidRDefault="00B83F26" w:rsidP="00B83F26">
      <w:pPr>
        <w:pStyle w:val="Zkladntext3"/>
        <w:numPr>
          <w:ilvl w:val="0"/>
          <w:numId w:val="1"/>
        </w:numPr>
        <w:overflowPunct w:val="0"/>
        <w:autoSpaceDE w:val="0"/>
        <w:autoSpaceDN w:val="0"/>
        <w:adjustRightInd w:val="0"/>
        <w:jc w:val="left"/>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D53952">
        <w:rPr>
          <w:rFonts w:ascii="Arial" w:hAnsi="Arial" w:cs="Arial"/>
          <w:bCs/>
          <w:sz w:val="22"/>
          <w:szCs w:val="22"/>
        </w:rPr>
        <w:t>stavebním povolení</w:t>
      </w:r>
      <w:r w:rsidR="002B171C">
        <w:rPr>
          <w:rFonts w:ascii="Arial" w:hAnsi="Arial" w:cs="Arial"/>
          <w:bCs/>
          <w:sz w:val="22"/>
          <w:szCs w:val="22"/>
        </w:rPr>
        <w:t>,</w:t>
      </w:r>
      <w:r w:rsidR="00EF1A5F" w:rsidRPr="00D53952">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68A7C42E"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stavebním povolení 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ve stavebním povolení 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78A088A2" w14:textId="77777777" w:rsidR="00B83F26" w:rsidRPr="00D53952" w:rsidRDefault="00B83F26" w:rsidP="00BB4EEA">
      <w:pPr>
        <w:pStyle w:val="Zkladntext3"/>
        <w:numPr>
          <w:ilvl w:val="0"/>
          <w:numId w:val="28"/>
        </w:numPr>
        <w:ind w:hanging="644"/>
        <w:rPr>
          <w:rFonts w:ascii="Arial" w:hAnsi="Arial" w:cs="Arial"/>
          <w:bCs/>
          <w:sz w:val="22"/>
          <w:szCs w:val="22"/>
        </w:rPr>
      </w:pPr>
      <w:r w:rsidRPr="00D53952">
        <w:rPr>
          <w:rFonts w:ascii="Arial" w:hAnsi="Arial" w:cs="Arial"/>
          <w:bCs/>
          <w:sz w:val="22"/>
          <w:szCs w:val="22"/>
        </w:rPr>
        <w:t xml:space="preserve">Datum a čas výkonu autorského dozoru </w:t>
      </w:r>
      <w:r w:rsidR="00B7615A" w:rsidRPr="00D53952">
        <w:rPr>
          <w:rFonts w:ascii="Arial" w:hAnsi="Arial" w:cs="Arial"/>
          <w:bCs/>
          <w:sz w:val="22"/>
          <w:szCs w:val="22"/>
        </w:rPr>
        <w:t xml:space="preserve">projektanta </w:t>
      </w:r>
      <w:r w:rsidRPr="00D53952">
        <w:rPr>
          <w:rFonts w:ascii="Arial" w:hAnsi="Arial" w:cs="Arial"/>
          <w:bCs/>
          <w:sz w:val="22"/>
          <w:szCs w:val="22"/>
        </w:rPr>
        <w:t>na stavbě zaznamenává zhotovitel do stavebního deníku.</w:t>
      </w:r>
    </w:p>
    <w:p w14:paraId="41A6968D" w14:textId="77777777" w:rsidR="00B83F26" w:rsidRPr="00D53952" w:rsidRDefault="00B83F26" w:rsidP="00B83F26">
      <w:pPr>
        <w:pStyle w:val="Zkladntext3"/>
        <w:ind w:left="360"/>
        <w:rPr>
          <w:rFonts w:ascii="Arial" w:hAnsi="Arial" w:cs="Arial"/>
          <w:bCs/>
          <w:sz w:val="22"/>
          <w:szCs w:val="22"/>
        </w:rPr>
      </w:pPr>
    </w:p>
    <w:p w14:paraId="2EEA880C" w14:textId="3B663AF8" w:rsidR="00B83F26" w:rsidRPr="00D53952" w:rsidRDefault="00B83F26"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projektanta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7672129E" w14:textId="77777777" w:rsidR="008A1D16" w:rsidRPr="00D53952" w:rsidRDefault="008A1D16" w:rsidP="008A1D16">
      <w:pPr>
        <w:pStyle w:val="Zkladntext3"/>
        <w:ind w:left="644"/>
        <w:rPr>
          <w:rFonts w:ascii="Arial" w:hAnsi="Arial" w:cs="Arial"/>
          <w:b/>
          <w:bCs/>
          <w:sz w:val="22"/>
          <w:szCs w:val="22"/>
        </w:rPr>
      </w:pPr>
    </w:p>
    <w:p w14:paraId="11412492" w14:textId="15893714" w:rsidR="00EC3260" w:rsidRPr="00D53952" w:rsidRDefault="00EC3260" w:rsidP="00BB4EEA">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0B24C18B" w14:textId="77777777" w:rsidR="009B4D42" w:rsidRPr="00D53952" w:rsidRDefault="009B4D42" w:rsidP="009B4D42">
      <w:pPr>
        <w:pStyle w:val="Zkladntext3"/>
        <w:ind w:left="644"/>
        <w:rPr>
          <w:rFonts w:ascii="Arial" w:hAnsi="Arial" w:cs="Arial"/>
          <w:b/>
          <w:bCs/>
          <w:sz w:val="22"/>
          <w:szCs w:val="22"/>
        </w:rPr>
      </w:pPr>
    </w:p>
    <w:p w14:paraId="1C21B66F" w14:textId="14B54061" w:rsidR="009B4D42" w:rsidRPr="00DC3B65" w:rsidRDefault="009B4D42" w:rsidP="00BB4EEA">
      <w:pPr>
        <w:pStyle w:val="Odstavecseseznamem"/>
        <w:numPr>
          <w:ilvl w:val="0"/>
          <w:numId w:val="28"/>
        </w:numPr>
        <w:ind w:hanging="644"/>
        <w:jc w:val="both"/>
        <w:rPr>
          <w:rFonts w:ascii="Arial" w:hAnsi="Arial" w:cs="Arial"/>
          <w:bCs/>
          <w:snapToGrid w:val="0"/>
          <w:sz w:val="22"/>
          <w:szCs w:val="22"/>
        </w:rPr>
      </w:pPr>
      <w:bookmarkStart w:id="2" w:name="_Hlk16163141"/>
      <w:r w:rsidRPr="00D53952">
        <w:rPr>
          <w:rFonts w:ascii="Arial" w:hAnsi="Arial" w:cs="Arial"/>
          <w:bCs/>
          <w:snapToGrid w:val="0"/>
          <w:sz w:val="22"/>
          <w:szCs w:val="22"/>
        </w:rPr>
        <w:t xml:space="preserve">V případě potřeby zpracuje </w:t>
      </w:r>
      <w:r w:rsidR="002E2A05" w:rsidRPr="00D53952">
        <w:rPr>
          <w:rFonts w:ascii="Arial" w:hAnsi="Arial" w:cs="Arial"/>
          <w:bCs/>
          <w:snapToGrid w:val="0"/>
          <w:sz w:val="22"/>
          <w:szCs w:val="22"/>
        </w:rPr>
        <w:t xml:space="preserve">zhotovitel </w:t>
      </w:r>
      <w:r w:rsidRPr="00D53952">
        <w:rPr>
          <w:rFonts w:ascii="Arial" w:hAnsi="Arial" w:cs="Arial"/>
          <w:bCs/>
          <w:snapToGrid w:val="0"/>
          <w:sz w:val="22"/>
          <w:szCs w:val="22"/>
        </w:rPr>
        <w:t xml:space="preserve">dodatečné informace v rámci </w:t>
      </w:r>
      <w:r w:rsidR="002E2A05" w:rsidRPr="00DC3B65">
        <w:rPr>
          <w:rFonts w:ascii="Arial" w:hAnsi="Arial" w:cs="Arial"/>
          <w:bCs/>
          <w:snapToGrid w:val="0"/>
          <w:sz w:val="22"/>
          <w:szCs w:val="22"/>
        </w:rPr>
        <w:t>z</w:t>
      </w:r>
      <w:r w:rsidRPr="00DC3B65">
        <w:rPr>
          <w:rFonts w:ascii="Arial" w:hAnsi="Arial" w:cs="Arial"/>
          <w:bCs/>
          <w:snapToGrid w:val="0"/>
          <w:sz w:val="22"/>
          <w:szCs w:val="22"/>
        </w:rPr>
        <w:t>adávacího/výběrového řízení</w:t>
      </w:r>
      <w:r w:rsidRPr="00D53952">
        <w:rPr>
          <w:rFonts w:ascii="Arial" w:hAnsi="Arial" w:cs="Arial"/>
          <w:bCs/>
          <w:snapToGrid w:val="0"/>
          <w:sz w:val="22"/>
          <w:szCs w:val="22"/>
        </w:rPr>
        <w:t xml:space="preserve"> veřejné zakáz</w:t>
      </w:r>
      <w:r w:rsidR="002E2A05" w:rsidRPr="00D53952">
        <w:rPr>
          <w:rFonts w:ascii="Arial" w:hAnsi="Arial" w:cs="Arial"/>
          <w:bCs/>
          <w:snapToGrid w:val="0"/>
          <w:sz w:val="22"/>
          <w:szCs w:val="22"/>
        </w:rPr>
        <w:t>ky</w:t>
      </w:r>
      <w:r w:rsidRPr="00D53952">
        <w:rPr>
          <w:rFonts w:ascii="Arial" w:hAnsi="Arial" w:cs="Arial"/>
          <w:bCs/>
          <w:snapToGrid w:val="0"/>
          <w:sz w:val="22"/>
          <w:szCs w:val="22"/>
        </w:rPr>
        <w:t xml:space="preserve"> na realizaci stavb</w:t>
      </w:r>
      <w:r w:rsidR="002E2A05" w:rsidRPr="00D53952">
        <w:rPr>
          <w:rFonts w:ascii="Arial" w:hAnsi="Arial" w:cs="Arial"/>
          <w:bCs/>
          <w:snapToGrid w:val="0"/>
          <w:sz w:val="22"/>
          <w:szCs w:val="22"/>
        </w:rPr>
        <w:t xml:space="preserve">y </w:t>
      </w:r>
      <w:r w:rsidR="00DC3B65" w:rsidRPr="00DC3B65">
        <w:rPr>
          <w:rFonts w:ascii="Arial" w:hAnsi="Arial" w:cs="Arial"/>
          <w:bCs/>
          <w:snapToGrid w:val="0"/>
          <w:sz w:val="22"/>
          <w:szCs w:val="22"/>
          <w:lang w:val="en-US"/>
        </w:rPr>
        <w:t>Společná zařízení v k.ú. Chotěšiny</w:t>
      </w:r>
      <w:r w:rsidR="002E2A05" w:rsidRPr="00DC3B65">
        <w:rPr>
          <w:rFonts w:ascii="Arial" w:hAnsi="Arial" w:cs="Arial"/>
          <w:bCs/>
          <w:snapToGrid w:val="0"/>
          <w:sz w:val="22"/>
          <w:szCs w:val="22"/>
        </w:rPr>
        <w:t>,</w:t>
      </w:r>
      <w:r w:rsidR="002E2A05" w:rsidRPr="00DC3B65">
        <w:rPr>
          <w:rFonts w:ascii="Arial" w:hAnsi="Arial" w:cs="Arial"/>
          <w:sz w:val="22"/>
          <w:szCs w:val="22"/>
        </w:rPr>
        <w:t xml:space="preserve"> </w:t>
      </w:r>
      <w:r w:rsidR="002E2A05" w:rsidRPr="00DC3B65">
        <w:rPr>
          <w:rFonts w:ascii="Arial" w:hAnsi="Arial" w:cs="Arial"/>
          <w:bCs/>
          <w:snapToGrid w:val="0"/>
          <w:sz w:val="22"/>
          <w:szCs w:val="22"/>
        </w:rPr>
        <w:t>dle projektové dokumentace zpracované zhotovitelem</w:t>
      </w:r>
      <w:r w:rsidRPr="00DC3B65">
        <w:rPr>
          <w:rFonts w:ascii="Arial" w:hAnsi="Arial" w:cs="Arial"/>
          <w:bCs/>
          <w:snapToGrid w:val="0"/>
          <w:sz w:val="22"/>
          <w:szCs w:val="22"/>
        </w:rPr>
        <w:t>.</w:t>
      </w:r>
    </w:p>
    <w:bookmarkEnd w:id="2"/>
    <w:p w14:paraId="546077FF" w14:textId="77777777" w:rsidR="004453EA" w:rsidRPr="00D53952" w:rsidRDefault="004453EA" w:rsidP="004453EA">
      <w:pPr>
        <w:pStyle w:val="Odstavecseseznamem"/>
        <w:ind w:left="644"/>
        <w:jc w:val="both"/>
        <w:rPr>
          <w:rFonts w:ascii="Arial" w:hAnsi="Arial" w:cs="Arial"/>
          <w:bCs/>
          <w:snapToGrid w:val="0"/>
          <w:sz w:val="22"/>
          <w:szCs w:val="22"/>
        </w:rPr>
      </w:pP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7DCF5EEF" w:rsidR="00015DD0" w:rsidRPr="00BB4EEA"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 xml:space="preserve">Zhotovitel bude provádět činnosti podle čl. III. této smlouvy ode dne předání staveniště zhotoviteli stavby specifikované v čl. II. odst. </w:t>
      </w:r>
      <w:r w:rsidR="00A00B86" w:rsidRPr="00BB4EEA">
        <w:rPr>
          <w:rFonts w:ascii="Arial" w:hAnsi="Arial" w:cs="Arial"/>
          <w:sz w:val="22"/>
          <w:szCs w:val="22"/>
        </w:rPr>
        <w:t>2</w:t>
      </w:r>
      <w:r w:rsidRPr="00BB4EEA">
        <w:rPr>
          <w:rFonts w:ascii="Arial" w:hAnsi="Arial" w:cs="Arial"/>
          <w:sz w:val="22"/>
          <w:szCs w:val="22"/>
        </w:rPr>
        <w:t xml:space="preserve"> této smlouvy do vydání kolaudačního </w:t>
      </w:r>
      <w:r w:rsidRPr="00BB4EEA">
        <w:rPr>
          <w:rFonts w:ascii="Arial" w:hAnsi="Arial" w:cs="Arial"/>
          <w:sz w:val="22"/>
          <w:szCs w:val="22"/>
        </w:rPr>
        <w:lastRenderedPageBreak/>
        <w:t>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42AFE8F0"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68D3E9EF" w14:textId="77777777" w:rsidR="00D93301" w:rsidRPr="00D53952" w:rsidRDefault="00D93301" w:rsidP="00BB4EEA">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77777777" w:rsidR="00D93301" w:rsidRPr="00D53952" w:rsidRDefault="00D93301" w:rsidP="00BB4EEA">
      <w:pPr>
        <w:numPr>
          <w:ilvl w:val="1"/>
          <w:numId w:val="27"/>
        </w:numPr>
        <w:tabs>
          <w:tab w:val="clear" w:pos="705"/>
          <w:tab w:val="num" w:pos="993"/>
        </w:tabs>
        <w:ind w:left="709" w:hanging="529"/>
        <w:jc w:val="both"/>
        <w:rPr>
          <w:rFonts w:ascii="Arial" w:hAnsi="Arial" w:cs="Arial"/>
          <w:sz w:val="22"/>
          <w:szCs w:val="22"/>
        </w:rPr>
      </w:pPr>
      <w:r w:rsidRPr="00D53952">
        <w:rPr>
          <w:rFonts w:ascii="Arial" w:hAnsi="Arial" w:cs="Arial"/>
          <w:sz w:val="22"/>
          <w:szCs w:val="22"/>
        </w:rPr>
        <w:t>Objednatel je oprávněn kontrolovat, zda je plnění poskytováno</w:t>
      </w:r>
      <w:r w:rsidR="009F145A" w:rsidRPr="00D53952">
        <w:rPr>
          <w:rFonts w:ascii="Arial" w:hAnsi="Arial" w:cs="Arial"/>
          <w:sz w:val="22"/>
          <w:szCs w:val="22"/>
        </w:rPr>
        <w:t xml:space="preserve"> </w:t>
      </w:r>
      <w:r w:rsidRPr="00D53952">
        <w:rPr>
          <w:rFonts w:ascii="Arial" w:hAnsi="Arial" w:cs="Arial"/>
          <w:sz w:val="22"/>
          <w:szCs w:val="22"/>
        </w:rPr>
        <w:t xml:space="preserve">zhotovitelem řádně </w:t>
      </w:r>
      <w:r w:rsidR="00B520B5" w:rsidRPr="00D53952">
        <w:rPr>
          <w:rFonts w:ascii="Arial" w:hAnsi="Arial" w:cs="Arial"/>
          <w:sz w:val="22"/>
          <w:szCs w:val="22"/>
        </w:rPr>
        <w:br/>
      </w:r>
      <w:r w:rsidRPr="00D53952">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06ABFE45" w14:textId="739272F5" w:rsidR="00EF7CB8" w:rsidRPr="00167C3A" w:rsidRDefault="00EF7CB8" w:rsidP="00D32776">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50693AA4" w14:textId="63F4E309" w:rsidR="009C0CA5" w:rsidRDefault="009C0CA5" w:rsidP="009C0CA5">
      <w:pPr>
        <w:pStyle w:val="Zkladntext2"/>
        <w:tabs>
          <w:tab w:val="left" w:pos="1701"/>
        </w:tabs>
        <w:jc w:val="both"/>
        <w:rPr>
          <w:rFonts w:ascii="Arial" w:hAnsi="Arial" w:cs="Arial"/>
          <w:b/>
          <w:sz w:val="22"/>
          <w:szCs w:val="22"/>
        </w:rPr>
      </w:pPr>
    </w:p>
    <w:p w14:paraId="35076E01" w14:textId="77777777" w:rsidR="00B4061D" w:rsidRDefault="00B4061D" w:rsidP="00167C3A">
      <w:pPr>
        <w:pStyle w:val="Zkladntext2"/>
        <w:tabs>
          <w:tab w:val="left" w:pos="1701"/>
        </w:tabs>
        <w:jc w:val="both"/>
        <w:rPr>
          <w:rFonts w:ascii="Arial" w:hAnsi="Arial" w:cs="Arial"/>
          <w:b/>
          <w:sz w:val="22"/>
          <w:szCs w:val="22"/>
        </w:rPr>
      </w:pP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45A9A139"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 xml:space="preserve">mlouvy má uzavřenou pojistnou smlouvu, jejímž předmětem je pojištění odpovědnosti za škodu způsobenou zhotovitelem třetí osobě v souvislosti s výkonem jeho činnosti, ve výši nejméně </w:t>
      </w:r>
      <w:r w:rsidR="00DC3B65">
        <w:rPr>
          <w:rFonts w:ascii="Arial" w:hAnsi="Arial" w:cs="Arial"/>
          <w:sz w:val="22"/>
          <w:szCs w:val="22"/>
        </w:rPr>
        <w:t xml:space="preserve">500 000 </w:t>
      </w:r>
      <w:r w:rsidRPr="009C0CA5">
        <w:rPr>
          <w:rFonts w:ascii="Arial" w:hAnsi="Arial" w:cs="Arial"/>
          <w:sz w:val="22"/>
          <w:szCs w:val="22"/>
        </w:rPr>
        <w:t>Kč</w:t>
      </w:r>
      <w:r w:rsidR="00DC3B65">
        <w:rPr>
          <w:rFonts w:ascii="Arial" w:hAnsi="Arial" w:cs="Arial"/>
          <w:sz w:val="22"/>
          <w:szCs w:val="22"/>
        </w:rPr>
        <w:t>.</w:t>
      </w:r>
      <w:r w:rsidRPr="009C0CA5">
        <w:rPr>
          <w:rFonts w:ascii="Arial" w:hAnsi="Arial" w:cs="Arial"/>
          <w:sz w:val="22"/>
          <w:szCs w:val="22"/>
        </w:rPr>
        <w:t xml:space="preserve"> 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34ECE87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3D633164" w14:textId="77777777" w:rsidR="00FE51BB" w:rsidRDefault="00FE51BB" w:rsidP="00FE51BB">
      <w:pPr>
        <w:numPr>
          <w:ilvl w:val="0"/>
          <w:numId w:val="41"/>
        </w:numPr>
        <w:spacing w:after="60"/>
        <w:ind w:left="709" w:hanging="709"/>
        <w:jc w:val="both"/>
        <w:rPr>
          <w:rFonts w:ascii="Arial" w:hAnsi="Arial" w:cs="Arial"/>
          <w:sz w:val="22"/>
          <w:szCs w:val="22"/>
        </w:rPr>
      </w:pPr>
      <w:r>
        <w:rPr>
          <w:rFonts w:ascii="Arial" w:hAnsi="Arial" w:cs="Arial"/>
          <w:sz w:val="22"/>
          <w:szCs w:val="22"/>
        </w:rPr>
        <w:t xml:space="preserve">Objednatel se zavazuje zaplatit zhotoviteli za provedení díla cenu ve výši </w:t>
      </w:r>
      <w:r>
        <w:rPr>
          <w:rFonts w:ascii="Arial" w:hAnsi="Arial" w:cs="Arial"/>
          <w:b/>
          <w:sz w:val="22"/>
          <w:szCs w:val="22"/>
          <w:highlight w:val="yellow"/>
          <w:lang w:val="en-US"/>
        </w:rPr>
        <w:t>[DOPLNIT]</w:t>
      </w:r>
      <w:r>
        <w:rPr>
          <w:rFonts w:ascii="Arial" w:hAnsi="Arial" w:cs="Arial"/>
          <w:i/>
          <w:sz w:val="22"/>
          <w:szCs w:val="22"/>
        </w:rPr>
        <w:t xml:space="preserve">  </w:t>
      </w:r>
      <w:r>
        <w:rPr>
          <w:rFonts w:ascii="Arial" w:hAnsi="Arial" w:cs="Arial"/>
          <w:b/>
          <w:sz w:val="22"/>
          <w:szCs w:val="22"/>
          <w:highlight w:val="yellow"/>
          <w:lang w:val="en-US"/>
        </w:rPr>
        <w:t>Kč bez DPH</w:t>
      </w:r>
      <w:r>
        <w:rPr>
          <w:rFonts w:ascii="Arial" w:hAnsi="Arial" w:cs="Arial"/>
          <w:i/>
          <w:sz w:val="22"/>
          <w:szCs w:val="22"/>
        </w:rPr>
        <w:t xml:space="preserve"> (slovy:</w:t>
      </w:r>
      <w:r>
        <w:rPr>
          <w:rFonts w:ascii="Arial" w:hAnsi="Arial" w:cs="Arial"/>
          <w:b/>
          <w:sz w:val="22"/>
          <w:szCs w:val="22"/>
          <w:highlight w:val="yellow"/>
          <w:lang w:val="en-US"/>
        </w:rPr>
        <w:t xml:space="preserve"> [DOPLNIT]</w:t>
      </w:r>
      <w:r>
        <w:rPr>
          <w:rFonts w:ascii="Arial" w:hAnsi="Arial" w:cs="Arial"/>
          <w:b/>
          <w:sz w:val="22"/>
          <w:szCs w:val="22"/>
          <w:lang w:val="en-US"/>
        </w:rPr>
        <w:t xml:space="preserve"> </w:t>
      </w:r>
      <w:r>
        <w:rPr>
          <w:rFonts w:ascii="Arial" w:hAnsi="Arial" w:cs="Arial"/>
          <w:i/>
          <w:sz w:val="22"/>
          <w:szCs w:val="22"/>
        </w:rPr>
        <w:t xml:space="preserve">korun českých). </w:t>
      </w:r>
      <w:r>
        <w:rPr>
          <w:rFonts w:ascii="Arial" w:hAnsi="Arial" w:cs="Arial"/>
          <w:sz w:val="22"/>
          <w:szCs w:val="22"/>
        </w:rPr>
        <w:t xml:space="preserve">Výše ceny byla stanovena dohodou smluvních stran na základě nabídky zhotovitele ze dne </w:t>
      </w:r>
      <w:r>
        <w:rPr>
          <w:rFonts w:ascii="Arial" w:hAnsi="Arial" w:cs="Arial"/>
          <w:b/>
          <w:sz w:val="22"/>
          <w:szCs w:val="22"/>
          <w:highlight w:val="yellow"/>
          <w:lang w:val="en-US"/>
        </w:rPr>
        <w:t>[DOPLNIT].</w:t>
      </w:r>
      <w:r>
        <w:rPr>
          <w:rFonts w:ascii="Arial" w:hAnsi="Arial" w:cs="Arial"/>
          <w:sz w:val="22"/>
          <w:szCs w:val="22"/>
        </w:rPr>
        <w:t xml:space="preserve"> Tato cena je nejvýše přípustná a nepřekročitelná. V ceně jsou zahrnuty veškeré náklady poskytovatele související s komplexním zajištěním celého předmětu smlouvy.</w:t>
      </w:r>
    </w:p>
    <w:p w14:paraId="216A9D06" w14:textId="77777777" w:rsidR="00FE51BB" w:rsidRDefault="00FE51BB" w:rsidP="00FE51BB">
      <w:pPr>
        <w:spacing w:after="60"/>
        <w:ind w:left="709"/>
        <w:jc w:val="both"/>
        <w:rPr>
          <w:rFonts w:ascii="Arial" w:hAnsi="Arial" w:cs="Arial"/>
          <w:sz w:val="22"/>
          <w:szCs w:val="22"/>
        </w:rPr>
      </w:pPr>
      <w:r>
        <w:rPr>
          <w:rFonts w:ascii="Arial" w:hAnsi="Arial" w:cs="Arial"/>
          <w:sz w:val="22"/>
          <w:szCs w:val="22"/>
        </w:rPr>
        <w:t>Zhotovitel je plátcem DPH, která bude účtována podle předpisů platných v době účtování. Výši celkové ceny díla je možné změnit, dojde-li ke změně sazby DPH.</w:t>
      </w:r>
    </w:p>
    <w:p w14:paraId="1216C4E7" w14:textId="77777777" w:rsidR="00FE51BB" w:rsidRDefault="00FE51BB" w:rsidP="00FE51BB">
      <w:pPr>
        <w:spacing w:after="60"/>
        <w:jc w:val="both"/>
        <w:rPr>
          <w:rFonts w:ascii="Arial" w:hAnsi="Arial" w:cs="Arial"/>
          <w:sz w:val="22"/>
          <w:szCs w:val="22"/>
        </w:rPr>
      </w:pPr>
    </w:p>
    <w:p w14:paraId="0E8C7D9B" w14:textId="77777777" w:rsidR="00FE51BB" w:rsidRDefault="00FE51BB" w:rsidP="00FE51BB">
      <w:pPr>
        <w:spacing w:after="60"/>
        <w:ind w:left="709"/>
        <w:jc w:val="both"/>
        <w:rPr>
          <w:rFonts w:ascii="Arial" w:hAnsi="Arial" w:cs="Arial"/>
          <w:b/>
          <w:sz w:val="22"/>
          <w:szCs w:val="22"/>
        </w:rPr>
      </w:pPr>
      <w:r>
        <w:rPr>
          <w:rFonts w:ascii="Arial" w:hAnsi="Arial" w:cs="Arial"/>
          <w:b/>
          <w:sz w:val="22"/>
          <w:szCs w:val="22"/>
        </w:rPr>
        <w:t>Rekapitulace celkové ceny díla:</w:t>
      </w:r>
    </w:p>
    <w:p w14:paraId="3EBB52D0" w14:textId="77777777" w:rsidR="00FE51BB" w:rsidRDefault="00FE51BB" w:rsidP="00FE51BB">
      <w:pPr>
        <w:spacing w:after="60"/>
        <w:ind w:left="709"/>
        <w:jc w:val="both"/>
        <w:rPr>
          <w:rFonts w:ascii="Arial" w:hAnsi="Arial" w:cs="Arial"/>
          <w:sz w:val="22"/>
          <w:szCs w:val="22"/>
        </w:rPr>
      </w:pPr>
    </w:p>
    <w:tbl>
      <w:tblPr>
        <w:tblW w:w="9123" w:type="dxa"/>
        <w:tblInd w:w="354" w:type="dxa"/>
        <w:tblCellMar>
          <w:left w:w="70" w:type="dxa"/>
          <w:right w:w="70" w:type="dxa"/>
        </w:tblCellMar>
        <w:tblLook w:val="04A0" w:firstRow="1" w:lastRow="0" w:firstColumn="1" w:lastColumn="0" w:noHBand="0" w:noVBand="1"/>
      </w:tblPr>
      <w:tblGrid>
        <w:gridCol w:w="4314"/>
        <w:gridCol w:w="1559"/>
        <w:gridCol w:w="1560"/>
        <w:gridCol w:w="1690"/>
      </w:tblGrid>
      <w:tr w:rsidR="00FE51BB" w14:paraId="0CF90F0C" w14:textId="77777777" w:rsidTr="00FE51BB">
        <w:trPr>
          <w:trHeight w:val="284"/>
        </w:trPr>
        <w:tc>
          <w:tcPr>
            <w:tcW w:w="4314" w:type="dxa"/>
            <w:tcBorders>
              <w:top w:val="single" w:sz="8" w:space="0" w:color="auto"/>
              <w:left w:val="single" w:sz="8" w:space="0" w:color="auto"/>
              <w:bottom w:val="single" w:sz="4" w:space="0" w:color="auto"/>
              <w:right w:val="single" w:sz="4" w:space="0" w:color="auto"/>
            </w:tcBorders>
            <w:vAlign w:val="center"/>
            <w:hideMark/>
          </w:tcPr>
          <w:p w14:paraId="3364D58C" w14:textId="77777777" w:rsidR="00FE51BB" w:rsidRDefault="00FE51BB">
            <w:pPr>
              <w:rPr>
                <w:rFonts w:ascii="Arial" w:hAnsi="Arial" w:cs="Arial"/>
                <w:sz w:val="22"/>
                <w:szCs w:val="22"/>
              </w:rPr>
            </w:pPr>
          </w:p>
        </w:tc>
        <w:tc>
          <w:tcPr>
            <w:tcW w:w="1559" w:type="dxa"/>
            <w:tcBorders>
              <w:top w:val="single" w:sz="8" w:space="0" w:color="auto"/>
              <w:left w:val="nil"/>
              <w:bottom w:val="single" w:sz="4" w:space="0" w:color="auto"/>
              <w:right w:val="single" w:sz="4" w:space="0" w:color="auto"/>
            </w:tcBorders>
            <w:vAlign w:val="center"/>
            <w:hideMark/>
          </w:tcPr>
          <w:p w14:paraId="3E61297C" w14:textId="77777777" w:rsidR="00FE51BB" w:rsidRDefault="00FE51BB">
            <w:pPr>
              <w:jc w:val="center"/>
              <w:rPr>
                <w:rFonts w:ascii="Arial" w:hAnsi="Arial" w:cs="Arial"/>
                <w:b/>
                <w:bCs/>
                <w:color w:val="000000"/>
                <w:sz w:val="22"/>
                <w:szCs w:val="22"/>
                <w:lang w:eastAsia="en-US"/>
              </w:rPr>
            </w:pPr>
            <w:r>
              <w:rPr>
                <w:rFonts w:ascii="Arial" w:hAnsi="Arial" w:cs="Arial"/>
                <w:b/>
                <w:bCs/>
                <w:color w:val="000000"/>
                <w:sz w:val="22"/>
                <w:szCs w:val="22"/>
                <w:lang w:eastAsia="en-US"/>
              </w:rPr>
              <w:t>Cena bez DPH (Kč)</w:t>
            </w:r>
          </w:p>
        </w:tc>
        <w:tc>
          <w:tcPr>
            <w:tcW w:w="1560" w:type="dxa"/>
            <w:tcBorders>
              <w:top w:val="single" w:sz="8" w:space="0" w:color="auto"/>
              <w:left w:val="nil"/>
              <w:bottom w:val="single" w:sz="4" w:space="0" w:color="auto"/>
              <w:right w:val="single" w:sz="4" w:space="0" w:color="auto"/>
            </w:tcBorders>
            <w:vAlign w:val="center"/>
            <w:hideMark/>
          </w:tcPr>
          <w:p w14:paraId="30815AC8" w14:textId="77777777" w:rsidR="00FE51BB" w:rsidRDefault="00FE51BB">
            <w:pPr>
              <w:jc w:val="center"/>
              <w:rPr>
                <w:rFonts w:ascii="Arial" w:hAnsi="Arial" w:cs="Arial"/>
                <w:b/>
                <w:bCs/>
                <w:color w:val="000000"/>
                <w:sz w:val="22"/>
                <w:szCs w:val="22"/>
                <w:lang w:eastAsia="en-US"/>
              </w:rPr>
            </w:pPr>
            <w:r>
              <w:rPr>
                <w:rFonts w:ascii="Arial" w:hAnsi="Arial" w:cs="Arial"/>
                <w:b/>
                <w:bCs/>
                <w:color w:val="000000"/>
                <w:sz w:val="22"/>
                <w:szCs w:val="22"/>
                <w:lang w:eastAsia="en-US"/>
              </w:rPr>
              <w:t>DPH (Kč)</w:t>
            </w:r>
          </w:p>
        </w:tc>
        <w:tc>
          <w:tcPr>
            <w:tcW w:w="1690" w:type="dxa"/>
            <w:tcBorders>
              <w:top w:val="single" w:sz="8" w:space="0" w:color="auto"/>
              <w:left w:val="nil"/>
              <w:bottom w:val="single" w:sz="4" w:space="0" w:color="auto"/>
              <w:right w:val="single" w:sz="8" w:space="0" w:color="auto"/>
            </w:tcBorders>
            <w:vAlign w:val="center"/>
            <w:hideMark/>
          </w:tcPr>
          <w:p w14:paraId="6D84713C" w14:textId="77777777" w:rsidR="00FE51BB" w:rsidRDefault="00FE51BB">
            <w:pPr>
              <w:jc w:val="center"/>
              <w:rPr>
                <w:rFonts w:ascii="Arial" w:hAnsi="Arial" w:cs="Arial"/>
                <w:b/>
                <w:bCs/>
                <w:color w:val="000000"/>
                <w:sz w:val="22"/>
                <w:szCs w:val="22"/>
                <w:lang w:eastAsia="en-US"/>
              </w:rPr>
            </w:pPr>
            <w:r>
              <w:rPr>
                <w:rFonts w:ascii="Arial" w:hAnsi="Arial" w:cs="Arial"/>
                <w:b/>
                <w:bCs/>
                <w:color w:val="000000"/>
                <w:sz w:val="22"/>
                <w:szCs w:val="22"/>
                <w:lang w:eastAsia="en-US"/>
              </w:rPr>
              <w:t>Cena včetně DPH (Kč)</w:t>
            </w:r>
          </w:p>
        </w:tc>
      </w:tr>
      <w:tr w:rsidR="00FE51BB" w14:paraId="5A5A65D7" w14:textId="77777777" w:rsidTr="00FE51BB">
        <w:trPr>
          <w:trHeight w:val="284"/>
        </w:trPr>
        <w:tc>
          <w:tcPr>
            <w:tcW w:w="9123" w:type="dxa"/>
            <w:gridSpan w:val="4"/>
            <w:tcBorders>
              <w:top w:val="single" w:sz="8" w:space="0" w:color="auto"/>
              <w:left w:val="single" w:sz="8" w:space="0" w:color="auto"/>
              <w:bottom w:val="single" w:sz="4" w:space="0" w:color="auto"/>
              <w:right w:val="single" w:sz="8" w:space="0" w:color="auto"/>
            </w:tcBorders>
            <w:shd w:val="clear" w:color="auto" w:fill="FABF8F" w:themeFill="accent6" w:themeFillTint="99"/>
            <w:vAlign w:val="center"/>
            <w:hideMark/>
          </w:tcPr>
          <w:p w14:paraId="49C309C3" w14:textId="77777777" w:rsidR="00FE51BB" w:rsidRDefault="00FE51BB">
            <w:pPr>
              <w:rPr>
                <w:rFonts w:ascii="Arial" w:hAnsi="Arial" w:cs="Arial"/>
                <w:b/>
                <w:bCs/>
                <w:color w:val="000000"/>
                <w:sz w:val="22"/>
                <w:szCs w:val="22"/>
                <w:lang w:eastAsia="en-US"/>
              </w:rPr>
            </w:pPr>
            <w:r>
              <w:rPr>
                <w:rFonts w:ascii="Arial" w:hAnsi="Arial" w:cs="Arial"/>
                <w:b/>
                <w:bCs/>
                <w:color w:val="000000"/>
                <w:sz w:val="22"/>
                <w:szCs w:val="22"/>
                <w:lang w:eastAsia="en-US"/>
              </w:rPr>
              <w:t>Výkon autorského dozoru projektanta v rámci jednotlivých stavebních objektů:</w:t>
            </w:r>
          </w:p>
        </w:tc>
      </w:tr>
      <w:tr w:rsidR="00FE51BB" w14:paraId="15264E69" w14:textId="77777777" w:rsidTr="00FE51BB">
        <w:trPr>
          <w:trHeight w:val="284"/>
        </w:trPr>
        <w:tc>
          <w:tcPr>
            <w:tcW w:w="4314" w:type="dxa"/>
            <w:tcBorders>
              <w:top w:val="nil"/>
              <w:left w:val="single" w:sz="8" w:space="0" w:color="auto"/>
              <w:bottom w:val="single" w:sz="4" w:space="0" w:color="auto"/>
              <w:right w:val="single" w:sz="4" w:space="0" w:color="auto"/>
            </w:tcBorders>
            <w:hideMark/>
          </w:tcPr>
          <w:p w14:paraId="5901C770" w14:textId="6811FDD4" w:rsidR="00FE51BB" w:rsidRDefault="00FE51BB">
            <w:pPr>
              <w:jc w:val="both"/>
              <w:rPr>
                <w:rFonts w:ascii="Arial" w:hAnsi="Arial" w:cs="Arial"/>
                <w:color w:val="000000"/>
                <w:sz w:val="22"/>
                <w:szCs w:val="22"/>
                <w:lang w:eastAsia="en-US"/>
              </w:rPr>
            </w:pPr>
            <w:r>
              <w:rPr>
                <w:rStyle w:val="l-L2Char"/>
              </w:rPr>
              <w:t>Retenční nádrž VHO2</w:t>
            </w:r>
          </w:p>
        </w:tc>
        <w:tc>
          <w:tcPr>
            <w:tcW w:w="1559" w:type="dxa"/>
            <w:tcBorders>
              <w:top w:val="nil"/>
              <w:left w:val="nil"/>
              <w:bottom w:val="single" w:sz="4" w:space="0" w:color="auto"/>
              <w:right w:val="single" w:sz="4" w:space="0" w:color="auto"/>
            </w:tcBorders>
            <w:noWrap/>
            <w:vAlign w:val="bottom"/>
            <w:hideMark/>
          </w:tcPr>
          <w:p w14:paraId="344D07D4" w14:textId="77777777" w:rsidR="00FE51BB" w:rsidRDefault="00FE51BB">
            <w:pPr>
              <w:jc w:val="right"/>
              <w:rPr>
                <w:rFonts w:ascii="Arial" w:hAnsi="Arial" w:cs="Arial"/>
                <w:color w:val="000000"/>
                <w:sz w:val="22"/>
                <w:szCs w:val="22"/>
                <w:lang w:eastAsia="en-US"/>
              </w:rPr>
            </w:pPr>
            <w:r>
              <w:rPr>
                <w:rFonts w:ascii="Arial" w:hAnsi="Arial" w:cs="Arial"/>
                <w:color w:val="000000"/>
                <w:sz w:val="22"/>
                <w:szCs w:val="22"/>
                <w:lang w:eastAsia="en-US"/>
              </w:rPr>
              <w:t> </w:t>
            </w:r>
          </w:p>
        </w:tc>
        <w:tc>
          <w:tcPr>
            <w:tcW w:w="1560" w:type="dxa"/>
            <w:tcBorders>
              <w:top w:val="nil"/>
              <w:left w:val="nil"/>
              <w:bottom w:val="single" w:sz="4" w:space="0" w:color="auto"/>
              <w:right w:val="single" w:sz="4" w:space="0" w:color="auto"/>
            </w:tcBorders>
            <w:noWrap/>
            <w:vAlign w:val="bottom"/>
            <w:hideMark/>
          </w:tcPr>
          <w:p w14:paraId="0A321853" w14:textId="77777777" w:rsidR="00FE51BB" w:rsidRDefault="00FE51BB">
            <w:pPr>
              <w:jc w:val="right"/>
              <w:rPr>
                <w:rFonts w:ascii="Arial" w:hAnsi="Arial" w:cs="Arial"/>
                <w:color w:val="000000"/>
                <w:sz w:val="22"/>
                <w:szCs w:val="22"/>
                <w:lang w:eastAsia="en-US"/>
              </w:rPr>
            </w:pPr>
            <w:r>
              <w:rPr>
                <w:rFonts w:ascii="Arial" w:hAnsi="Arial" w:cs="Arial"/>
                <w:color w:val="000000"/>
                <w:sz w:val="22"/>
                <w:szCs w:val="22"/>
                <w:lang w:eastAsia="en-US"/>
              </w:rPr>
              <w:t> </w:t>
            </w:r>
          </w:p>
        </w:tc>
        <w:tc>
          <w:tcPr>
            <w:tcW w:w="1690" w:type="dxa"/>
            <w:tcBorders>
              <w:top w:val="nil"/>
              <w:left w:val="nil"/>
              <w:bottom w:val="single" w:sz="4" w:space="0" w:color="auto"/>
              <w:right w:val="single" w:sz="8" w:space="0" w:color="auto"/>
            </w:tcBorders>
            <w:noWrap/>
            <w:vAlign w:val="bottom"/>
            <w:hideMark/>
          </w:tcPr>
          <w:p w14:paraId="3EDBE67E" w14:textId="77777777" w:rsidR="00FE51BB" w:rsidRDefault="00FE51BB">
            <w:pPr>
              <w:jc w:val="right"/>
              <w:rPr>
                <w:rFonts w:ascii="Arial" w:hAnsi="Arial" w:cs="Arial"/>
                <w:color w:val="000000"/>
                <w:sz w:val="22"/>
                <w:szCs w:val="22"/>
                <w:lang w:eastAsia="en-US"/>
              </w:rPr>
            </w:pPr>
            <w:r>
              <w:rPr>
                <w:rFonts w:ascii="Arial" w:hAnsi="Arial" w:cs="Arial"/>
                <w:color w:val="000000"/>
                <w:sz w:val="22"/>
                <w:szCs w:val="22"/>
                <w:lang w:eastAsia="en-US"/>
              </w:rPr>
              <w:t> </w:t>
            </w:r>
          </w:p>
        </w:tc>
      </w:tr>
      <w:tr w:rsidR="00FE51BB" w14:paraId="7D6A8B40" w14:textId="77777777" w:rsidTr="00FE51BB">
        <w:trPr>
          <w:trHeight w:val="284"/>
        </w:trPr>
        <w:tc>
          <w:tcPr>
            <w:tcW w:w="4314" w:type="dxa"/>
            <w:tcBorders>
              <w:top w:val="nil"/>
              <w:left w:val="single" w:sz="8" w:space="0" w:color="auto"/>
              <w:bottom w:val="single" w:sz="4" w:space="0" w:color="auto"/>
              <w:right w:val="single" w:sz="4" w:space="0" w:color="auto"/>
            </w:tcBorders>
            <w:hideMark/>
          </w:tcPr>
          <w:p w14:paraId="799AD56D" w14:textId="4790AEC6" w:rsidR="00FE51BB" w:rsidRDefault="00FE51BB">
            <w:pPr>
              <w:jc w:val="both"/>
              <w:rPr>
                <w:rStyle w:val="l-L2Char"/>
              </w:rPr>
            </w:pPr>
            <w:r>
              <w:rPr>
                <w:rStyle w:val="l-L2Char"/>
                <w:szCs w:val="22"/>
              </w:rPr>
              <w:t>V</w:t>
            </w:r>
            <w:r>
              <w:rPr>
                <w:rStyle w:val="l-L2Char"/>
              </w:rPr>
              <w:t xml:space="preserve">C15 (část) a DC20 </w:t>
            </w:r>
          </w:p>
        </w:tc>
        <w:tc>
          <w:tcPr>
            <w:tcW w:w="1559" w:type="dxa"/>
            <w:tcBorders>
              <w:top w:val="nil"/>
              <w:left w:val="nil"/>
              <w:bottom w:val="single" w:sz="4" w:space="0" w:color="auto"/>
              <w:right w:val="single" w:sz="4" w:space="0" w:color="auto"/>
            </w:tcBorders>
            <w:noWrap/>
            <w:vAlign w:val="bottom"/>
          </w:tcPr>
          <w:p w14:paraId="43FABB25" w14:textId="77777777" w:rsidR="00FE51BB" w:rsidRDefault="00FE51BB">
            <w:pPr>
              <w:jc w:val="right"/>
              <w:rPr>
                <w:color w:val="000000"/>
                <w:lang w:eastAsia="en-US"/>
              </w:rPr>
            </w:pPr>
          </w:p>
        </w:tc>
        <w:tc>
          <w:tcPr>
            <w:tcW w:w="1560" w:type="dxa"/>
            <w:tcBorders>
              <w:top w:val="nil"/>
              <w:left w:val="nil"/>
              <w:bottom w:val="single" w:sz="4" w:space="0" w:color="auto"/>
              <w:right w:val="single" w:sz="4" w:space="0" w:color="auto"/>
            </w:tcBorders>
            <w:noWrap/>
            <w:vAlign w:val="bottom"/>
          </w:tcPr>
          <w:p w14:paraId="04EA60B9" w14:textId="77777777" w:rsidR="00FE51BB" w:rsidRDefault="00FE51BB">
            <w:pPr>
              <w:jc w:val="right"/>
              <w:rPr>
                <w:rFonts w:ascii="Arial" w:hAnsi="Arial" w:cs="Arial"/>
                <w:color w:val="000000"/>
                <w:sz w:val="22"/>
                <w:szCs w:val="22"/>
                <w:lang w:eastAsia="en-US"/>
              </w:rPr>
            </w:pPr>
          </w:p>
        </w:tc>
        <w:tc>
          <w:tcPr>
            <w:tcW w:w="1690" w:type="dxa"/>
            <w:tcBorders>
              <w:top w:val="nil"/>
              <w:left w:val="nil"/>
              <w:bottom w:val="single" w:sz="4" w:space="0" w:color="auto"/>
              <w:right w:val="single" w:sz="8" w:space="0" w:color="auto"/>
            </w:tcBorders>
            <w:noWrap/>
            <w:vAlign w:val="bottom"/>
          </w:tcPr>
          <w:p w14:paraId="2E8D4A5D" w14:textId="77777777" w:rsidR="00FE51BB" w:rsidRDefault="00FE51BB">
            <w:pPr>
              <w:jc w:val="right"/>
              <w:rPr>
                <w:rFonts w:ascii="Arial" w:hAnsi="Arial" w:cs="Arial"/>
                <w:color w:val="000000"/>
                <w:sz w:val="22"/>
                <w:szCs w:val="22"/>
                <w:lang w:eastAsia="en-US"/>
              </w:rPr>
            </w:pPr>
          </w:p>
        </w:tc>
      </w:tr>
      <w:tr w:rsidR="00FE51BB" w14:paraId="5E347AD8" w14:textId="77777777" w:rsidTr="00FE51BB">
        <w:trPr>
          <w:trHeight w:val="284"/>
        </w:trPr>
        <w:tc>
          <w:tcPr>
            <w:tcW w:w="4314" w:type="dxa"/>
            <w:tcBorders>
              <w:top w:val="nil"/>
              <w:left w:val="single" w:sz="8" w:space="0" w:color="auto"/>
              <w:bottom w:val="single" w:sz="4" w:space="0" w:color="auto"/>
              <w:right w:val="single" w:sz="4" w:space="0" w:color="auto"/>
            </w:tcBorders>
            <w:hideMark/>
          </w:tcPr>
          <w:p w14:paraId="7B6D22AA" w14:textId="3B8D06BC" w:rsidR="00FE51BB" w:rsidRDefault="00FE51BB">
            <w:pPr>
              <w:jc w:val="both"/>
              <w:rPr>
                <w:rFonts w:ascii="Arial" w:hAnsi="Arial" w:cs="Arial"/>
                <w:color w:val="000000"/>
                <w:sz w:val="22"/>
                <w:szCs w:val="22"/>
                <w:lang w:eastAsia="en-US"/>
              </w:rPr>
            </w:pPr>
            <w:r>
              <w:rPr>
                <w:rStyle w:val="l-L2Char"/>
              </w:rPr>
              <w:t>Cesta VC1</w:t>
            </w:r>
          </w:p>
        </w:tc>
        <w:tc>
          <w:tcPr>
            <w:tcW w:w="1559" w:type="dxa"/>
            <w:tcBorders>
              <w:top w:val="nil"/>
              <w:left w:val="nil"/>
              <w:bottom w:val="single" w:sz="4" w:space="0" w:color="auto"/>
              <w:right w:val="single" w:sz="4" w:space="0" w:color="auto"/>
            </w:tcBorders>
            <w:noWrap/>
            <w:vAlign w:val="bottom"/>
          </w:tcPr>
          <w:p w14:paraId="24D7BCE2" w14:textId="77777777" w:rsidR="00FE51BB" w:rsidRDefault="00FE51BB">
            <w:pPr>
              <w:jc w:val="right"/>
              <w:rPr>
                <w:rFonts w:ascii="Arial" w:hAnsi="Arial" w:cs="Arial"/>
                <w:color w:val="000000"/>
                <w:sz w:val="22"/>
                <w:szCs w:val="22"/>
                <w:lang w:eastAsia="en-US"/>
              </w:rPr>
            </w:pPr>
          </w:p>
        </w:tc>
        <w:tc>
          <w:tcPr>
            <w:tcW w:w="1560" w:type="dxa"/>
            <w:tcBorders>
              <w:top w:val="nil"/>
              <w:left w:val="nil"/>
              <w:bottom w:val="single" w:sz="4" w:space="0" w:color="auto"/>
              <w:right w:val="single" w:sz="4" w:space="0" w:color="auto"/>
            </w:tcBorders>
            <w:noWrap/>
            <w:vAlign w:val="bottom"/>
          </w:tcPr>
          <w:p w14:paraId="0375FDF3" w14:textId="77777777" w:rsidR="00FE51BB" w:rsidRDefault="00FE51BB">
            <w:pPr>
              <w:jc w:val="right"/>
              <w:rPr>
                <w:rFonts w:ascii="Arial" w:hAnsi="Arial" w:cs="Arial"/>
                <w:color w:val="000000"/>
                <w:sz w:val="22"/>
                <w:szCs w:val="22"/>
                <w:lang w:eastAsia="en-US"/>
              </w:rPr>
            </w:pPr>
          </w:p>
        </w:tc>
        <w:tc>
          <w:tcPr>
            <w:tcW w:w="1690" w:type="dxa"/>
            <w:tcBorders>
              <w:top w:val="nil"/>
              <w:left w:val="nil"/>
              <w:bottom w:val="single" w:sz="4" w:space="0" w:color="auto"/>
              <w:right w:val="single" w:sz="8" w:space="0" w:color="auto"/>
            </w:tcBorders>
            <w:noWrap/>
            <w:vAlign w:val="bottom"/>
          </w:tcPr>
          <w:p w14:paraId="609C1091" w14:textId="77777777" w:rsidR="00FE51BB" w:rsidRDefault="00FE51BB">
            <w:pPr>
              <w:jc w:val="right"/>
              <w:rPr>
                <w:rFonts w:ascii="Arial" w:hAnsi="Arial" w:cs="Arial"/>
                <w:color w:val="000000"/>
                <w:sz w:val="22"/>
                <w:szCs w:val="22"/>
                <w:lang w:eastAsia="en-US"/>
              </w:rPr>
            </w:pPr>
          </w:p>
        </w:tc>
      </w:tr>
      <w:tr w:rsidR="00FE51BB" w14:paraId="2A759525" w14:textId="77777777" w:rsidTr="00FE51BB">
        <w:trPr>
          <w:trHeight w:val="284"/>
        </w:trPr>
        <w:tc>
          <w:tcPr>
            <w:tcW w:w="4314" w:type="dxa"/>
            <w:tcBorders>
              <w:top w:val="single" w:sz="4" w:space="0" w:color="auto"/>
              <w:left w:val="single" w:sz="8" w:space="0" w:color="auto"/>
              <w:bottom w:val="single" w:sz="4" w:space="0" w:color="auto"/>
              <w:right w:val="single" w:sz="4" w:space="0" w:color="auto"/>
            </w:tcBorders>
            <w:hideMark/>
          </w:tcPr>
          <w:p w14:paraId="1E598717" w14:textId="216B7BBE" w:rsidR="00FE51BB" w:rsidRDefault="00FE51BB">
            <w:pPr>
              <w:jc w:val="both"/>
              <w:rPr>
                <w:rFonts w:ascii="Arial" w:hAnsi="Arial" w:cs="Arial"/>
                <w:color w:val="000000"/>
                <w:sz w:val="22"/>
                <w:szCs w:val="22"/>
                <w:lang w:eastAsia="en-US"/>
              </w:rPr>
            </w:pPr>
            <w:r>
              <w:rPr>
                <w:rStyle w:val="l-L2Char"/>
              </w:rPr>
              <w:t xml:space="preserve">Hrázka PEO1 </w:t>
            </w:r>
          </w:p>
        </w:tc>
        <w:tc>
          <w:tcPr>
            <w:tcW w:w="1559" w:type="dxa"/>
            <w:tcBorders>
              <w:top w:val="single" w:sz="4" w:space="0" w:color="auto"/>
              <w:left w:val="nil"/>
              <w:bottom w:val="single" w:sz="4" w:space="0" w:color="auto"/>
              <w:right w:val="single" w:sz="4" w:space="0" w:color="auto"/>
            </w:tcBorders>
            <w:noWrap/>
            <w:vAlign w:val="bottom"/>
          </w:tcPr>
          <w:p w14:paraId="6BA02FEE" w14:textId="77777777" w:rsidR="00FE51BB" w:rsidRDefault="00FE51BB">
            <w:pPr>
              <w:jc w:val="right"/>
              <w:rPr>
                <w:rFonts w:ascii="Arial" w:hAnsi="Arial" w:cs="Arial"/>
                <w:color w:val="000000"/>
                <w:sz w:val="22"/>
                <w:szCs w:val="22"/>
                <w:lang w:eastAsia="en-US"/>
              </w:rPr>
            </w:pPr>
          </w:p>
        </w:tc>
        <w:tc>
          <w:tcPr>
            <w:tcW w:w="1560" w:type="dxa"/>
            <w:tcBorders>
              <w:top w:val="single" w:sz="4" w:space="0" w:color="auto"/>
              <w:left w:val="nil"/>
              <w:bottom w:val="single" w:sz="4" w:space="0" w:color="auto"/>
              <w:right w:val="single" w:sz="4" w:space="0" w:color="auto"/>
            </w:tcBorders>
            <w:noWrap/>
            <w:vAlign w:val="bottom"/>
          </w:tcPr>
          <w:p w14:paraId="7B5BAE99" w14:textId="77777777" w:rsidR="00FE51BB" w:rsidRDefault="00FE51BB">
            <w:pPr>
              <w:jc w:val="right"/>
              <w:rPr>
                <w:rFonts w:ascii="Arial" w:hAnsi="Arial" w:cs="Arial"/>
                <w:color w:val="000000"/>
                <w:sz w:val="22"/>
                <w:szCs w:val="22"/>
                <w:lang w:eastAsia="en-US"/>
              </w:rPr>
            </w:pPr>
          </w:p>
        </w:tc>
        <w:tc>
          <w:tcPr>
            <w:tcW w:w="1690" w:type="dxa"/>
            <w:tcBorders>
              <w:top w:val="single" w:sz="4" w:space="0" w:color="auto"/>
              <w:left w:val="nil"/>
              <w:bottom w:val="single" w:sz="4" w:space="0" w:color="auto"/>
              <w:right w:val="single" w:sz="8" w:space="0" w:color="auto"/>
            </w:tcBorders>
            <w:noWrap/>
            <w:vAlign w:val="bottom"/>
          </w:tcPr>
          <w:p w14:paraId="07462E94" w14:textId="77777777" w:rsidR="00FE51BB" w:rsidRDefault="00FE51BB">
            <w:pPr>
              <w:jc w:val="right"/>
              <w:rPr>
                <w:rFonts w:ascii="Arial" w:hAnsi="Arial" w:cs="Arial"/>
                <w:color w:val="000000"/>
                <w:sz w:val="22"/>
                <w:szCs w:val="22"/>
                <w:lang w:eastAsia="en-US"/>
              </w:rPr>
            </w:pPr>
          </w:p>
        </w:tc>
      </w:tr>
      <w:tr w:rsidR="00FE51BB" w14:paraId="3659F2E0" w14:textId="77777777" w:rsidTr="00FE51BB">
        <w:trPr>
          <w:trHeight w:val="284"/>
        </w:trPr>
        <w:tc>
          <w:tcPr>
            <w:tcW w:w="4314" w:type="dxa"/>
            <w:tcBorders>
              <w:top w:val="nil"/>
              <w:left w:val="single" w:sz="8" w:space="0" w:color="auto"/>
              <w:bottom w:val="single" w:sz="8" w:space="0" w:color="auto"/>
              <w:right w:val="single" w:sz="4" w:space="0" w:color="auto"/>
            </w:tcBorders>
            <w:shd w:val="clear" w:color="auto" w:fill="C2D69B" w:themeFill="accent3" w:themeFillTint="99"/>
            <w:noWrap/>
            <w:vAlign w:val="center"/>
            <w:hideMark/>
          </w:tcPr>
          <w:p w14:paraId="1F838871" w14:textId="77777777" w:rsidR="00FE51BB" w:rsidRDefault="00FE51BB">
            <w:pPr>
              <w:rPr>
                <w:rFonts w:ascii="Arial" w:hAnsi="Arial" w:cs="Arial"/>
                <w:b/>
                <w:bCs/>
                <w:color w:val="000000"/>
                <w:sz w:val="22"/>
                <w:szCs w:val="22"/>
                <w:lang w:eastAsia="en-US"/>
              </w:rPr>
            </w:pPr>
            <w:r>
              <w:rPr>
                <w:rFonts w:ascii="Arial" w:hAnsi="Arial" w:cs="Arial"/>
                <w:b/>
                <w:bCs/>
                <w:color w:val="000000"/>
                <w:sz w:val="22"/>
                <w:szCs w:val="22"/>
                <w:lang w:eastAsia="en-US"/>
              </w:rPr>
              <w:t xml:space="preserve">Celkem </w:t>
            </w:r>
          </w:p>
        </w:tc>
        <w:tc>
          <w:tcPr>
            <w:tcW w:w="1559" w:type="dxa"/>
            <w:tcBorders>
              <w:top w:val="nil"/>
              <w:left w:val="nil"/>
              <w:bottom w:val="single" w:sz="8" w:space="0" w:color="auto"/>
              <w:right w:val="single" w:sz="4" w:space="0" w:color="auto"/>
            </w:tcBorders>
            <w:shd w:val="clear" w:color="auto" w:fill="C2D69B" w:themeFill="accent3" w:themeFillTint="99"/>
            <w:noWrap/>
            <w:vAlign w:val="center"/>
            <w:hideMark/>
          </w:tcPr>
          <w:p w14:paraId="14162C06" w14:textId="77777777" w:rsidR="00FE51BB" w:rsidRDefault="00FE51BB">
            <w:pPr>
              <w:jc w:val="right"/>
              <w:rPr>
                <w:rFonts w:ascii="Arial" w:hAnsi="Arial" w:cs="Arial"/>
                <w:b/>
                <w:bCs/>
                <w:color w:val="000000"/>
                <w:sz w:val="22"/>
                <w:szCs w:val="22"/>
                <w:lang w:eastAsia="en-US"/>
              </w:rPr>
            </w:pPr>
            <w:r>
              <w:rPr>
                <w:rFonts w:ascii="Arial" w:hAnsi="Arial" w:cs="Arial"/>
                <w:b/>
                <w:bCs/>
                <w:color w:val="000000"/>
                <w:sz w:val="22"/>
                <w:szCs w:val="22"/>
                <w:lang w:eastAsia="en-US"/>
              </w:rPr>
              <w:t> </w:t>
            </w:r>
          </w:p>
        </w:tc>
        <w:tc>
          <w:tcPr>
            <w:tcW w:w="1560" w:type="dxa"/>
            <w:tcBorders>
              <w:top w:val="nil"/>
              <w:left w:val="nil"/>
              <w:bottom w:val="single" w:sz="8" w:space="0" w:color="auto"/>
              <w:right w:val="single" w:sz="4" w:space="0" w:color="auto"/>
            </w:tcBorders>
            <w:shd w:val="clear" w:color="auto" w:fill="C2D69B" w:themeFill="accent3" w:themeFillTint="99"/>
            <w:noWrap/>
            <w:vAlign w:val="center"/>
            <w:hideMark/>
          </w:tcPr>
          <w:p w14:paraId="31A394E8" w14:textId="77777777" w:rsidR="00FE51BB" w:rsidRDefault="00FE51BB">
            <w:pPr>
              <w:jc w:val="right"/>
              <w:rPr>
                <w:rFonts w:ascii="Arial" w:hAnsi="Arial" w:cs="Arial"/>
                <w:b/>
                <w:bCs/>
                <w:color w:val="000000"/>
                <w:sz w:val="22"/>
                <w:szCs w:val="22"/>
                <w:lang w:eastAsia="en-US"/>
              </w:rPr>
            </w:pPr>
            <w:r>
              <w:rPr>
                <w:rFonts w:ascii="Arial" w:hAnsi="Arial" w:cs="Arial"/>
                <w:b/>
                <w:bCs/>
                <w:color w:val="000000"/>
                <w:sz w:val="22"/>
                <w:szCs w:val="22"/>
                <w:lang w:eastAsia="en-US"/>
              </w:rPr>
              <w:t> </w:t>
            </w:r>
          </w:p>
        </w:tc>
        <w:tc>
          <w:tcPr>
            <w:tcW w:w="1690" w:type="dxa"/>
            <w:tcBorders>
              <w:top w:val="nil"/>
              <w:left w:val="nil"/>
              <w:bottom w:val="single" w:sz="8" w:space="0" w:color="auto"/>
              <w:right w:val="single" w:sz="8" w:space="0" w:color="auto"/>
            </w:tcBorders>
            <w:shd w:val="clear" w:color="auto" w:fill="C2D69B" w:themeFill="accent3" w:themeFillTint="99"/>
            <w:noWrap/>
            <w:vAlign w:val="center"/>
            <w:hideMark/>
          </w:tcPr>
          <w:p w14:paraId="6B9460FE" w14:textId="77777777" w:rsidR="00FE51BB" w:rsidRDefault="00FE51BB">
            <w:pPr>
              <w:jc w:val="right"/>
              <w:rPr>
                <w:rFonts w:ascii="Arial" w:hAnsi="Arial" w:cs="Arial"/>
                <w:b/>
                <w:bCs/>
                <w:color w:val="000000"/>
                <w:sz w:val="22"/>
                <w:szCs w:val="22"/>
                <w:lang w:eastAsia="en-US"/>
              </w:rPr>
            </w:pPr>
            <w:r>
              <w:rPr>
                <w:rFonts w:ascii="Arial" w:hAnsi="Arial" w:cs="Arial"/>
                <w:b/>
                <w:bCs/>
                <w:color w:val="000000"/>
                <w:sz w:val="22"/>
                <w:szCs w:val="22"/>
                <w:lang w:eastAsia="en-US"/>
              </w:rPr>
              <w:t> </w:t>
            </w:r>
          </w:p>
        </w:tc>
      </w:tr>
    </w:tbl>
    <w:p w14:paraId="509042F8" w14:textId="5A703752" w:rsidR="005F687B" w:rsidRPr="00D53952" w:rsidRDefault="005F687B" w:rsidP="00BB4EEA">
      <w:pPr>
        <w:jc w:val="both"/>
        <w:rPr>
          <w:rFonts w:ascii="Arial" w:hAnsi="Arial" w:cs="Arial"/>
          <w:sz w:val="22"/>
          <w:szCs w:val="22"/>
        </w:rPr>
      </w:pPr>
    </w:p>
    <w:p w14:paraId="49660008" w14:textId="77777777" w:rsidR="005F687B" w:rsidRPr="00D53952" w:rsidRDefault="005F687B" w:rsidP="007C5C7F">
      <w:pPr>
        <w:ind w:left="426"/>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01141430"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Faktura bude objednateli předložena ve třech vyhotoveních. Faktura musí splňovat předepsané náležitosti účetního dokladu ve smyslu § 11 zákona 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6FE83F20" w14:textId="77777777" w:rsidR="00FE51BB" w:rsidRPr="004D5F78" w:rsidRDefault="00DF4A58" w:rsidP="00FE51BB">
      <w:pPr>
        <w:pStyle w:val="l-L1"/>
        <w:keepNext w:val="0"/>
        <w:numPr>
          <w:ilvl w:val="0"/>
          <w:numId w:val="0"/>
        </w:numPr>
        <w:spacing w:before="120" w:after="120"/>
        <w:ind w:left="708" w:firstLine="24"/>
        <w:jc w:val="both"/>
        <w:rPr>
          <w:rStyle w:val="l-L2Char"/>
          <w:rFonts w:cs="Arial"/>
          <w:b w:val="0"/>
          <w:szCs w:val="22"/>
          <w:u w:val="none"/>
        </w:rPr>
      </w:pPr>
      <w:r w:rsidRPr="00D53952">
        <w:rPr>
          <w:rFonts w:ascii="Arial" w:hAnsi="Arial" w:cs="Arial"/>
          <w:szCs w:val="22"/>
        </w:rPr>
        <w:t xml:space="preserve">Konečný příjemce: </w:t>
      </w:r>
      <w:bookmarkStart w:id="3" w:name="_Hlk39500052"/>
      <w:r w:rsidR="00FE51BB" w:rsidRPr="004D5F78">
        <w:rPr>
          <w:rStyle w:val="l-L2Char"/>
          <w:rFonts w:cs="Arial"/>
          <w:b w:val="0"/>
          <w:szCs w:val="22"/>
          <w:u w:val="none"/>
        </w:rPr>
        <w:t xml:space="preserve">Státní pozemkový úřad, Pobočka </w:t>
      </w:r>
      <w:r w:rsidR="00FE51BB">
        <w:rPr>
          <w:rFonts w:ascii="Arial" w:hAnsi="Arial" w:cs="Arial"/>
          <w:b w:val="0"/>
          <w:bCs/>
          <w:snapToGrid w:val="0"/>
          <w:szCs w:val="22"/>
          <w:u w:val="none"/>
        </w:rPr>
        <w:t>Ústí nad Orlicí, Tvardkova 1191, 562 01 Ústí nad Orlicí</w:t>
      </w:r>
      <w:r w:rsidR="00FE51BB" w:rsidRPr="004D5F78">
        <w:rPr>
          <w:rStyle w:val="l-L2Char"/>
          <w:rFonts w:cs="Arial"/>
          <w:b w:val="0"/>
          <w:szCs w:val="22"/>
          <w:u w:val="none"/>
        </w:rPr>
        <w:t xml:space="preserve"> </w:t>
      </w:r>
    </w:p>
    <w:bookmarkEnd w:id="3"/>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4CE7EBD5"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 novým termínem splatnosti. V takovém případě není objednatel v prodlení s úhradou.</w:t>
      </w:r>
    </w:p>
    <w:p w14:paraId="503AEF09" w14:textId="7A5738B8" w:rsidR="00B0493E" w:rsidRPr="00D53952" w:rsidRDefault="00B0493E" w:rsidP="00BB4EEA">
      <w:pPr>
        <w:pStyle w:val="Zkladntext2"/>
        <w:numPr>
          <w:ilvl w:val="0"/>
          <w:numId w:val="19"/>
        </w:numPr>
        <w:tabs>
          <w:tab w:val="left" w:pos="0"/>
        </w:tabs>
        <w:ind w:left="709" w:hanging="709"/>
        <w:jc w:val="both"/>
        <w:rPr>
          <w:rFonts w:ascii="Arial" w:hAnsi="Arial" w:cs="Arial"/>
          <w:sz w:val="22"/>
          <w:szCs w:val="22"/>
        </w:rPr>
      </w:pPr>
      <w:r w:rsidRPr="00D53952">
        <w:rPr>
          <w:rFonts w:ascii="Arial" w:hAnsi="Arial" w:cs="Arial"/>
          <w:sz w:val="22"/>
          <w:szCs w:val="22"/>
        </w:rPr>
        <w:t xml:space="preserve">Zhotovitel bere na vědomí, že objednatel je organizační složkou státu a jeho platební schopnost závisí na převodu prostředků ze státního rozpočtu určených na financování předmětu díla dle této smlouvy. Doba, po kterou nebude provedena úhrada faktury z důvodu nedostupnosti finančních prostředků určených pro pozemkové úpravy na účtu </w:t>
      </w:r>
      <w:r w:rsidRPr="00D53952">
        <w:rPr>
          <w:rFonts w:ascii="Arial" w:hAnsi="Arial" w:cs="Arial"/>
          <w:sz w:val="22"/>
          <w:szCs w:val="22"/>
        </w:rPr>
        <w:lastRenderedPageBreak/>
        <w:t xml:space="preserve">objednatele, se nepovažuje za prodlení zaviněné objednatelem a nelze z tohoto důvodu vůči němu uplatňovat jakékoliv sankce, úhrada faktury bude v tomto případě provedena až po obdržení potřebných finančních prostředků ze státního rozpočtu.  </w:t>
      </w:r>
    </w:p>
    <w:p w14:paraId="7FF10641" w14:textId="77777777" w:rsidR="002C59E8" w:rsidRPr="00D53952" w:rsidRDefault="002C59E8" w:rsidP="002C59E8">
      <w:pPr>
        <w:spacing w:before="60" w:after="60"/>
        <w:ind w:left="720"/>
        <w:jc w:val="both"/>
        <w:rPr>
          <w:rFonts w:ascii="Arial" w:hAnsi="Arial" w:cs="Arial"/>
          <w:sz w:val="22"/>
          <w:szCs w:val="22"/>
        </w:rPr>
      </w:pPr>
    </w:p>
    <w:p w14:paraId="5C89F195" w14:textId="11273342"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9C0CA5" w:rsidRPr="00BB4EEA">
        <w:rPr>
          <w:b/>
          <w:sz w:val="22"/>
          <w:szCs w:val="22"/>
        </w:rPr>
        <w:t>IX</w:t>
      </w:r>
    </w:p>
    <w:p w14:paraId="3305D8A4"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0254DA8E" w14:textId="27E621C0" w:rsidR="00B83F26" w:rsidRPr="00D53952" w:rsidRDefault="00B83F26" w:rsidP="00BB4EEA">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w:t>
      </w:r>
      <w:r w:rsidR="008E13A4" w:rsidRPr="00D53952">
        <w:rPr>
          <w:rFonts w:ascii="Arial" w:hAnsi="Arial" w:cs="Arial"/>
          <w:sz w:val="22"/>
          <w:szCs w:val="22"/>
        </w:rPr>
        <w:t xml:space="preserve"> </w:t>
      </w:r>
      <w:r w:rsidRPr="00D53952">
        <w:rPr>
          <w:rFonts w:ascii="Arial" w:hAnsi="Arial" w:cs="Arial"/>
          <w:sz w:val="22"/>
          <w:szCs w:val="22"/>
        </w:rPr>
        <w:t>na smluvní pokutě 0,1</w:t>
      </w:r>
      <w:r w:rsidR="00701D8A">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sidR="00701D8A">
        <w:rPr>
          <w:rFonts w:ascii="Arial" w:hAnsi="Arial" w:cs="Arial"/>
          <w:sz w:val="22"/>
          <w:szCs w:val="22"/>
        </w:rPr>
        <w:t xml:space="preserve">, </w:t>
      </w:r>
      <w:r w:rsidR="00701D8A"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0C513E4C" w14:textId="7D85AE18" w:rsidR="00B83F26" w:rsidRPr="00D53952" w:rsidRDefault="00B83F26" w:rsidP="00BB4EEA">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FB40B2" w:rsidRPr="00D53952">
        <w:rPr>
          <w:rFonts w:ascii="Arial" w:hAnsi="Arial" w:cs="Arial"/>
          <w:sz w:val="22"/>
          <w:szCs w:val="22"/>
        </w:rPr>
        <w:t xml:space="preserve"> </w:t>
      </w:r>
      <w:r w:rsidR="00701D8A">
        <w:rPr>
          <w:rFonts w:ascii="Arial" w:hAnsi="Arial" w:cs="Arial"/>
          <w:sz w:val="22"/>
          <w:szCs w:val="22"/>
        </w:rPr>
        <w:t>0,2</w:t>
      </w:r>
      <w:r w:rsidR="004652FB">
        <w:rPr>
          <w:rFonts w:ascii="Arial" w:hAnsi="Arial" w:cs="Arial"/>
          <w:sz w:val="22"/>
          <w:szCs w:val="22"/>
        </w:rPr>
        <w:t xml:space="preserve"> </w:t>
      </w:r>
      <w:r w:rsidR="00752BF7">
        <w:rPr>
          <w:rFonts w:ascii="Arial" w:hAnsi="Arial" w:cs="Arial"/>
          <w:sz w:val="22"/>
          <w:szCs w:val="22"/>
        </w:rPr>
        <w:t>%</w:t>
      </w:r>
      <w:r w:rsidR="00455871">
        <w:rPr>
          <w:rFonts w:ascii="Arial" w:hAnsi="Arial" w:cs="Arial"/>
          <w:sz w:val="22"/>
          <w:szCs w:val="22"/>
        </w:rPr>
        <w:t xml:space="preserve"> z ceny díla, </w:t>
      </w:r>
      <w:r w:rsidR="00455871" w:rsidRPr="00455871">
        <w:rPr>
          <w:rFonts w:ascii="Arial" w:hAnsi="Arial" w:cs="Arial"/>
          <w:sz w:val="22"/>
          <w:szCs w:val="22"/>
        </w:rPr>
        <w:t>min. 2 500 Kč za každý jednotlivý případ porušení povinnosti zhotovitele.</w:t>
      </w:r>
      <w:r w:rsidR="00455871">
        <w:rPr>
          <w:rFonts w:ascii="Arial" w:hAnsi="Arial" w:cs="Arial"/>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p>
    <w:p w14:paraId="7208F848" w14:textId="3C597EFC" w:rsidR="00024245" w:rsidRPr="00AB0C9F" w:rsidRDefault="00024245" w:rsidP="00AB0C9F">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sidR="00701D8A">
        <w:rPr>
          <w:rFonts w:ascii="Arial" w:hAnsi="Arial" w:cs="Arial"/>
          <w:sz w:val="22"/>
          <w:szCs w:val="22"/>
        </w:rPr>
        <w:t xml:space="preserve"> </w:t>
      </w:r>
      <w:r w:rsidRPr="00D53952">
        <w:rPr>
          <w:rFonts w:ascii="Arial" w:hAnsi="Arial" w:cs="Arial"/>
          <w:sz w:val="22"/>
          <w:szCs w:val="22"/>
        </w:rPr>
        <w:t>dní poté, co bude písemná výzva jedné strany v tomto směru</w:t>
      </w:r>
      <w:r w:rsidR="00AB0C9F">
        <w:rPr>
          <w:rFonts w:ascii="Arial" w:hAnsi="Arial" w:cs="Arial"/>
          <w:sz w:val="22"/>
          <w:szCs w:val="22"/>
        </w:rPr>
        <w:t xml:space="preserve"> </w:t>
      </w:r>
      <w:r w:rsidRPr="00AB0C9F">
        <w:rPr>
          <w:rFonts w:ascii="Arial" w:hAnsi="Arial" w:cs="Arial"/>
          <w:sz w:val="22"/>
          <w:szCs w:val="22"/>
        </w:rPr>
        <w:t>druhé straně doručena.</w:t>
      </w:r>
    </w:p>
    <w:p w14:paraId="5D29C7DF" w14:textId="77777777" w:rsidR="007F521D" w:rsidRPr="00D53952" w:rsidRDefault="007F521D" w:rsidP="00BB4EEA">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26E592DA" w14:textId="77777777" w:rsidR="00B83F26" w:rsidRPr="00D53952" w:rsidRDefault="00B83F26" w:rsidP="00B83F26">
      <w:pPr>
        <w:jc w:val="both"/>
        <w:rPr>
          <w:rFonts w:ascii="Arial" w:hAnsi="Arial" w:cs="Arial"/>
          <w:sz w:val="22"/>
          <w:szCs w:val="22"/>
        </w:rPr>
      </w:pPr>
      <w:r w:rsidRPr="00D53952">
        <w:rPr>
          <w:rFonts w:ascii="Arial" w:hAnsi="Arial" w:cs="Arial"/>
          <w:sz w:val="22"/>
          <w:szCs w:val="22"/>
        </w:rPr>
        <w:t xml:space="preserve">  </w:t>
      </w:r>
    </w:p>
    <w:p w14:paraId="503F6AB2" w14:textId="42A9941F"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0E6467" w:rsidRPr="00BB4EEA">
        <w:rPr>
          <w:b/>
          <w:sz w:val="22"/>
          <w:szCs w:val="22"/>
        </w:rPr>
        <w:t>X</w:t>
      </w:r>
    </w:p>
    <w:p w14:paraId="2BECFCA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w:t>
      </w:r>
      <w:r w:rsidR="0069264C" w:rsidRPr="00D53952">
        <w:rPr>
          <w:rFonts w:ascii="Arial" w:hAnsi="Arial" w:cs="Arial"/>
          <w:b/>
          <w:sz w:val="22"/>
          <w:szCs w:val="22"/>
          <w:u w:val="single"/>
        </w:rPr>
        <w:t xml:space="preserve"> a ukončení smlouvy</w:t>
      </w:r>
      <w:r w:rsidR="00721C31" w:rsidRPr="00D53952">
        <w:rPr>
          <w:rFonts w:ascii="Arial" w:hAnsi="Arial" w:cs="Arial"/>
          <w:b/>
          <w:sz w:val="22"/>
          <w:szCs w:val="22"/>
          <w:u w:val="single"/>
        </w:rPr>
        <w:t xml:space="preserve"> </w:t>
      </w:r>
    </w:p>
    <w:p w14:paraId="3DA5E2F8" w14:textId="11A3F104" w:rsidR="000618A9" w:rsidRPr="00D53952" w:rsidRDefault="007F521D" w:rsidP="00BB4EEA">
      <w:pPr>
        <w:pStyle w:val="Odstavecseseznamem"/>
        <w:numPr>
          <w:ilvl w:val="0"/>
          <w:numId w:val="26"/>
        </w:numPr>
        <w:ind w:left="567" w:hanging="565"/>
        <w:jc w:val="both"/>
        <w:rPr>
          <w:rStyle w:val="l-L2Char"/>
          <w:rFonts w:cs="Arial"/>
          <w:snapToGrid w:val="0"/>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w:t>
      </w:r>
      <w:r w:rsidR="000618A9" w:rsidRPr="00D53952">
        <w:rPr>
          <w:rStyle w:val="l-L2Char"/>
          <w:rFonts w:cs="Arial"/>
          <w:szCs w:val="22"/>
        </w:rPr>
        <w:t>p</w:t>
      </w:r>
      <w:r w:rsidRPr="00D53952">
        <w:rPr>
          <w:rStyle w:val="l-L2Char"/>
          <w:rFonts w:cs="Arial"/>
          <w:szCs w:val="22"/>
        </w:rPr>
        <w:t xml:space="preserve">lnění poskytovat nekvalitně v rozporu s platnými předpisy nebo </w:t>
      </w:r>
      <w:r w:rsidR="00701D8A">
        <w:rPr>
          <w:rStyle w:val="l-L2Char"/>
          <w:rFonts w:cs="Arial"/>
          <w:szCs w:val="22"/>
        </w:rPr>
        <w:t xml:space="preserve">touto </w:t>
      </w:r>
      <w:r w:rsidRPr="00D53952">
        <w:rPr>
          <w:rStyle w:val="l-L2Char"/>
          <w:rFonts w:cs="Arial"/>
          <w:szCs w:val="22"/>
        </w:rPr>
        <w:t>smlouvou</w:t>
      </w:r>
      <w:r w:rsidR="00701D8A">
        <w:rPr>
          <w:rStyle w:val="l-L2Char"/>
          <w:rFonts w:cs="Arial"/>
          <w:szCs w:val="22"/>
        </w:rPr>
        <w:t>.</w:t>
      </w:r>
      <w:r w:rsidR="00701D8A" w:rsidRPr="00701D8A">
        <w:t xml:space="preserve"> </w:t>
      </w:r>
      <w:r w:rsidR="00701D8A" w:rsidRPr="00701D8A">
        <w:rPr>
          <w:rStyle w:val="l-L2Char"/>
          <w:rFonts w:cs="Arial"/>
          <w:szCs w:val="22"/>
        </w:rPr>
        <w:t>Objednatel však nejprve na tento rozpor zhotovitele písemně (elektronicky) upozorní a poskytne mu lhůtu ke zjednání nápravy; teprve jejím marným uplynutím pak je objednatel oprávněn od smlouvy odstoupit. V případě podstatného porušení smlouvy zhotovitelem je však objednatel oprávněn od smlouvy odstoupit okamžitě.</w:t>
      </w:r>
    </w:p>
    <w:p w14:paraId="20011C70" w14:textId="77777777" w:rsidR="007F521D" w:rsidRPr="00D53952" w:rsidRDefault="007F521D" w:rsidP="0069213B">
      <w:pPr>
        <w:pStyle w:val="Odstavecseseznamem"/>
        <w:jc w:val="both"/>
        <w:rPr>
          <w:rStyle w:val="l-L2Char"/>
          <w:rFonts w:cs="Arial"/>
          <w:szCs w:val="22"/>
        </w:rPr>
      </w:pPr>
      <w:r w:rsidRPr="00D53952">
        <w:rPr>
          <w:rStyle w:val="l-L2Char"/>
          <w:rFonts w:cs="Arial"/>
          <w:szCs w:val="22"/>
        </w:rPr>
        <w:t xml:space="preserve"> </w:t>
      </w:r>
    </w:p>
    <w:p w14:paraId="65ACAE15" w14:textId="77777777" w:rsidR="000618A9" w:rsidRPr="00D53952" w:rsidRDefault="007F521D" w:rsidP="00BB4EEA">
      <w:pPr>
        <w:pStyle w:val="Odstavecseseznamem"/>
        <w:numPr>
          <w:ilvl w:val="0"/>
          <w:numId w:val="26"/>
        </w:numPr>
        <w:ind w:left="567" w:hanging="567"/>
        <w:jc w:val="both"/>
        <w:rPr>
          <w:rStyle w:val="l-L2Char"/>
          <w:rFonts w:cs="Arial"/>
          <w:szCs w:val="22"/>
        </w:rPr>
      </w:pPr>
      <w:r w:rsidRPr="00D53952">
        <w:rPr>
          <w:rStyle w:val="l-L2Char"/>
          <w:rFonts w:cs="Arial"/>
          <w:szCs w:val="22"/>
        </w:rPr>
        <w:t>Objednatel je oprávněn odstoupit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C9F3AB7" w14:textId="77777777" w:rsidR="000618A9" w:rsidRPr="00D53952" w:rsidRDefault="000618A9" w:rsidP="0069213B">
      <w:pPr>
        <w:jc w:val="both"/>
        <w:rPr>
          <w:rStyle w:val="l-L2Char"/>
          <w:rFonts w:cs="Arial"/>
          <w:b/>
          <w:szCs w:val="22"/>
        </w:rPr>
      </w:pPr>
    </w:p>
    <w:p w14:paraId="739C4536" w14:textId="3CE25268" w:rsidR="007F521D" w:rsidRPr="00D53952" w:rsidRDefault="007F521D" w:rsidP="00BB4EEA">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w:t>
      </w:r>
      <w:r w:rsidR="000618A9" w:rsidRPr="00D53952">
        <w:rPr>
          <w:rStyle w:val="l-L2Char"/>
          <w:rFonts w:cs="Arial"/>
          <w:szCs w:val="22"/>
        </w:rPr>
        <w:t xml:space="preserve"> p</w:t>
      </w:r>
      <w:r w:rsidRPr="00D53952">
        <w:rPr>
          <w:rStyle w:val="l-L2Char"/>
          <w:rFonts w:cs="Arial"/>
          <w:szCs w:val="22"/>
        </w:rPr>
        <w:t xml:space="preserve">lnění v případě, že objednatel obdrží ze státního rozpočtu snížené množství finančních prostředků oproti množství požadovanému v období před započetím poskytování </w:t>
      </w:r>
      <w:r w:rsidR="000618A9" w:rsidRPr="00D53952">
        <w:rPr>
          <w:rStyle w:val="l-L2Char"/>
          <w:rFonts w:cs="Arial"/>
          <w:szCs w:val="22"/>
        </w:rPr>
        <w:t>p</w:t>
      </w:r>
      <w:r w:rsidRPr="00D53952">
        <w:rPr>
          <w:rStyle w:val="l-L2Char"/>
          <w:rFonts w:cs="Arial"/>
          <w:szCs w:val="22"/>
        </w:rPr>
        <w:t>lnění, a dále v případě, pokud nedojde k</w:t>
      </w:r>
      <w:r w:rsidR="00455871">
        <w:rPr>
          <w:rStyle w:val="l-L2Char"/>
          <w:rFonts w:cs="Arial"/>
          <w:szCs w:val="22"/>
        </w:rPr>
        <w:t xml:space="preserve"> zahájení </w:t>
      </w:r>
      <w:r w:rsidRPr="00D53952">
        <w:rPr>
          <w:rStyle w:val="l-L2Char"/>
          <w:rFonts w:cs="Arial"/>
          <w:szCs w:val="22"/>
        </w:rPr>
        <w:t>realizac</w:t>
      </w:r>
      <w:r w:rsidR="00455871">
        <w:rPr>
          <w:rStyle w:val="l-L2Char"/>
          <w:rFonts w:cs="Arial"/>
          <w:szCs w:val="22"/>
        </w:rPr>
        <w:t>e</w:t>
      </w:r>
      <w:r w:rsidRPr="00D53952">
        <w:rPr>
          <w:rStyle w:val="l-L2Char"/>
          <w:rFonts w:cs="Arial"/>
          <w:szCs w:val="22"/>
        </w:rPr>
        <w:t xml:space="preserve"> stavby do</w:t>
      </w:r>
      <w:r w:rsidR="00AC7F9E">
        <w:rPr>
          <w:rStyle w:val="l-L2Char"/>
          <w:rFonts w:cs="Arial"/>
          <w:szCs w:val="22"/>
        </w:rPr>
        <w:t xml:space="preserve"> 31.12. 2025</w:t>
      </w:r>
      <w:r w:rsidR="00455871">
        <w:rPr>
          <w:rStyle w:val="l-L2Char"/>
          <w:rFonts w:cs="Arial"/>
          <w:szCs w:val="22"/>
        </w:rPr>
        <w:t xml:space="preserve">. </w:t>
      </w:r>
    </w:p>
    <w:p w14:paraId="4D181470" w14:textId="77777777" w:rsidR="00A1694B" w:rsidRPr="00D53952" w:rsidRDefault="00A1694B" w:rsidP="0069213B">
      <w:pPr>
        <w:pStyle w:val="Odstavecseseznamem"/>
        <w:jc w:val="both"/>
        <w:rPr>
          <w:rStyle w:val="l-L2Char"/>
          <w:rFonts w:cs="Arial"/>
          <w:b/>
          <w:szCs w:val="22"/>
        </w:rPr>
      </w:pPr>
    </w:p>
    <w:p w14:paraId="2FD4F537" w14:textId="7EA44D23" w:rsidR="00A1694B" w:rsidRPr="00D53952" w:rsidRDefault="00A1694B" w:rsidP="00BB4EEA">
      <w:pPr>
        <w:numPr>
          <w:ilvl w:val="0"/>
          <w:numId w:val="26"/>
        </w:numPr>
        <w:spacing w:before="60"/>
        <w:ind w:left="567" w:hanging="565"/>
        <w:jc w:val="both"/>
        <w:rPr>
          <w:rStyle w:val="l-L2Char"/>
          <w:rFonts w:cs="Arial"/>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w:t>
      </w:r>
      <w:r w:rsidR="006C1D2C" w:rsidRPr="00D53952">
        <w:rPr>
          <w:rStyle w:val="l-L2Char"/>
          <w:rFonts w:cs="Arial"/>
          <w:szCs w:val="22"/>
          <w:lang w:eastAsia="en-US"/>
        </w:rPr>
        <w:t xml:space="preserve">doba </w:t>
      </w:r>
      <w:r w:rsidRPr="00D53952">
        <w:rPr>
          <w:rStyle w:val="l-L2Char"/>
          <w:rFonts w:cs="Arial"/>
          <w:szCs w:val="22"/>
          <w:lang w:eastAsia="en-US"/>
        </w:rPr>
        <w:t>činí tři (3) měsíce a počne běžet prvního dne měsíce následujícího po měsíci, ve kterém byla výpověď doručena zhotoviteli.</w:t>
      </w:r>
    </w:p>
    <w:p w14:paraId="17D0015F" w14:textId="77777777" w:rsidR="0069264C" w:rsidRPr="00D53952" w:rsidRDefault="0069264C" w:rsidP="00D5611A">
      <w:pPr>
        <w:pStyle w:val="Odstavecseseznamem"/>
        <w:rPr>
          <w:rFonts w:ascii="Arial" w:hAnsi="Arial" w:cs="Arial"/>
          <w:sz w:val="22"/>
          <w:szCs w:val="22"/>
        </w:rPr>
      </w:pPr>
    </w:p>
    <w:p w14:paraId="2569B83D" w14:textId="50695B85" w:rsidR="00A1694B" w:rsidRPr="00BB4EEA" w:rsidRDefault="001E4DC2" w:rsidP="00BB4EEA">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0069264C" w:rsidRPr="00BB4EEA">
        <w:rPr>
          <w:rFonts w:ascii="Arial" w:hAnsi="Arial" w:cs="Arial"/>
          <w:sz w:val="22"/>
          <w:szCs w:val="22"/>
        </w:rPr>
        <w:t>.</w:t>
      </w:r>
    </w:p>
    <w:p w14:paraId="776AFE79" w14:textId="77777777" w:rsidR="000571AA" w:rsidRDefault="000571AA" w:rsidP="00167C3A">
      <w:pPr>
        <w:pStyle w:val="Odstavecseseznamem"/>
        <w:ind w:left="360"/>
        <w:rPr>
          <w:rFonts w:ascii="Arial" w:hAnsi="Arial" w:cs="Arial"/>
          <w:sz w:val="22"/>
          <w:szCs w:val="22"/>
        </w:rPr>
      </w:pPr>
    </w:p>
    <w:p w14:paraId="67E8E74A" w14:textId="77777777" w:rsidR="000571AA" w:rsidRPr="000571AA" w:rsidRDefault="000571AA" w:rsidP="00BB4EEA">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70FBAFF7" w14:textId="77777777" w:rsidR="000571AA" w:rsidRPr="00FF6396" w:rsidRDefault="000571AA" w:rsidP="00167C3A">
      <w:pPr>
        <w:pStyle w:val="Odstavecseseznamem"/>
        <w:ind w:left="360"/>
        <w:rPr>
          <w:rStyle w:val="l-L2Char"/>
          <w:rFonts w:cs="Arial"/>
          <w:szCs w:val="22"/>
        </w:rPr>
      </w:pPr>
    </w:p>
    <w:p w14:paraId="63CDBDB8" w14:textId="77777777" w:rsidR="00DD34EC" w:rsidRPr="00D53952" w:rsidRDefault="00DD34EC" w:rsidP="00DD34EC">
      <w:pPr>
        <w:rPr>
          <w:rFonts w:ascii="Arial" w:hAnsi="Arial" w:cs="Arial"/>
          <w:sz w:val="22"/>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74E8CC37" w:rsidR="00A87806" w:rsidRPr="00BB4EEA"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4EC79552" w14:textId="0F52B9CB" w:rsidR="00CB3BB5" w:rsidRPr="00A87806" w:rsidRDefault="00CB3BB5" w:rsidP="00AB0C9F">
      <w:pPr>
        <w:pStyle w:val="Odstavecseseznamem"/>
        <w:numPr>
          <w:ilvl w:val="0"/>
          <w:numId w:val="10"/>
        </w:numPr>
        <w:spacing w:line="276" w:lineRule="auto"/>
        <w:ind w:left="567" w:hanging="567"/>
        <w:jc w:val="both"/>
        <w:rPr>
          <w:rFonts w:ascii="Arial" w:hAnsi="Arial" w:cs="Arial"/>
          <w:sz w:val="22"/>
          <w:szCs w:val="22"/>
          <w:highlight w:val="yellow"/>
        </w:rPr>
      </w:pPr>
      <w:r w:rsidRPr="00A87806">
        <w:rPr>
          <w:rFonts w:ascii="Arial" w:hAnsi="Arial" w:cs="Arial"/>
          <w:sz w:val="22"/>
          <w:szCs w:val="22"/>
          <w:highlight w:val="yellow"/>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5A1018B5"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V případech, kdy zhotovitel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2D03DB4C"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lastRenderedPageBreak/>
        <w:t>Veškerá práva a povinnosti vyplývající z této smlouvy přecházejí, pokud to povaha těchto práva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bookmarkStart w:id="4" w:name="_GoBack"/>
      <w:bookmarkEnd w:id="4"/>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6AE9546B" w14:textId="77777777" w:rsidR="004907AC" w:rsidRPr="00D53952" w:rsidRDefault="004907AC" w:rsidP="00B83F26">
      <w:pPr>
        <w:jc w:val="both"/>
        <w:rPr>
          <w:rFonts w:ascii="Arial" w:hAnsi="Arial" w:cs="Arial"/>
          <w:sz w:val="22"/>
          <w:szCs w:val="22"/>
        </w:rPr>
      </w:pPr>
    </w:p>
    <w:p w14:paraId="14587360" w14:textId="77777777" w:rsidR="004907AC" w:rsidRPr="00D53952" w:rsidRDefault="004907AC" w:rsidP="00B83F26">
      <w:pPr>
        <w:jc w:val="both"/>
        <w:rPr>
          <w:rFonts w:ascii="Arial" w:hAnsi="Arial" w:cs="Arial"/>
          <w:sz w:val="22"/>
          <w:szCs w:val="22"/>
        </w:rPr>
      </w:pPr>
    </w:p>
    <w:p w14:paraId="204EEFEF" w14:textId="77777777" w:rsidR="00B83F26" w:rsidRPr="00D53952" w:rsidRDefault="00B83F26" w:rsidP="00B83F26">
      <w:pPr>
        <w:jc w:val="both"/>
        <w:rPr>
          <w:rFonts w:ascii="Arial" w:hAnsi="Arial" w:cs="Arial"/>
          <w:b/>
          <w:sz w:val="22"/>
          <w:szCs w:val="22"/>
        </w:rPr>
      </w:pPr>
      <w:r w:rsidRPr="00D53952">
        <w:rPr>
          <w:rFonts w:ascii="Arial" w:hAnsi="Arial" w:cs="Arial"/>
          <w:sz w:val="22"/>
          <w:szCs w:val="22"/>
        </w:rPr>
        <w:t>V </w:t>
      </w:r>
      <w:r w:rsidR="00B7615A" w:rsidRPr="00D53952">
        <w:rPr>
          <w:rFonts w:ascii="Arial" w:hAnsi="Arial" w:cs="Arial"/>
          <w:sz w:val="22"/>
          <w:szCs w:val="22"/>
        </w:rPr>
        <w:t>……………….</w:t>
      </w:r>
      <w:r w:rsidRPr="00D53952">
        <w:rPr>
          <w:rFonts w:ascii="Arial" w:hAnsi="Arial" w:cs="Arial"/>
          <w:sz w:val="22"/>
          <w:szCs w:val="22"/>
        </w:rPr>
        <w:t xml:space="preserve"> dne  ………………</w:t>
      </w:r>
    </w:p>
    <w:p w14:paraId="0F57774C" w14:textId="77777777" w:rsidR="00B83F26" w:rsidRPr="00D53952" w:rsidRDefault="00B83F26" w:rsidP="00B83F26">
      <w:pPr>
        <w:ind w:firstLine="708"/>
        <w:jc w:val="both"/>
        <w:rPr>
          <w:rFonts w:ascii="Arial" w:hAnsi="Arial" w:cs="Arial"/>
          <w:sz w:val="22"/>
          <w:szCs w:val="22"/>
        </w:rPr>
      </w:pPr>
    </w:p>
    <w:p w14:paraId="29885F6D" w14:textId="77777777" w:rsidR="00B83F26" w:rsidRPr="00D53952" w:rsidRDefault="00B83F26" w:rsidP="00B83F26">
      <w:pPr>
        <w:ind w:firstLine="708"/>
        <w:jc w:val="both"/>
        <w:rPr>
          <w:rFonts w:ascii="Arial" w:hAnsi="Arial" w:cs="Arial"/>
          <w:sz w:val="22"/>
          <w:szCs w:val="22"/>
        </w:rPr>
      </w:pPr>
    </w:p>
    <w:p w14:paraId="556D9987" w14:textId="77777777" w:rsidR="00AB0C9F" w:rsidRPr="00D53952" w:rsidRDefault="00AB0C9F" w:rsidP="00B83F26">
      <w:pPr>
        <w:ind w:firstLine="708"/>
        <w:jc w:val="both"/>
        <w:rPr>
          <w:rFonts w:ascii="Arial" w:hAnsi="Arial" w:cs="Arial"/>
          <w:sz w:val="22"/>
          <w:szCs w:val="22"/>
        </w:rPr>
      </w:pPr>
    </w:p>
    <w:p w14:paraId="6FD6DEAF" w14:textId="77777777" w:rsidR="004907AC" w:rsidRPr="00D53952" w:rsidRDefault="004907AC" w:rsidP="00AB0C9F">
      <w:pPr>
        <w:jc w:val="both"/>
        <w:rPr>
          <w:rFonts w:ascii="Arial" w:hAnsi="Arial" w:cs="Arial"/>
          <w:sz w:val="22"/>
          <w:szCs w:val="22"/>
        </w:rPr>
      </w:pPr>
    </w:p>
    <w:p w14:paraId="2129CA33" w14:textId="77777777" w:rsidR="004907AC" w:rsidRPr="00D53952" w:rsidRDefault="004907AC" w:rsidP="00B83F26">
      <w:pPr>
        <w:ind w:firstLine="708"/>
        <w:jc w:val="both"/>
        <w:rPr>
          <w:rFonts w:ascii="Arial" w:hAnsi="Arial" w:cs="Arial"/>
          <w:sz w:val="22"/>
          <w:szCs w:val="22"/>
        </w:rPr>
      </w:pPr>
    </w:p>
    <w:p w14:paraId="5B3ECC49" w14:textId="77777777" w:rsidR="00B83F26" w:rsidRPr="00D53952" w:rsidRDefault="00B83F26" w:rsidP="00B83F26">
      <w:pPr>
        <w:ind w:firstLine="708"/>
        <w:jc w:val="both"/>
        <w:rPr>
          <w:rFonts w:ascii="Arial" w:hAnsi="Arial" w:cs="Arial"/>
          <w:sz w:val="22"/>
          <w:szCs w:val="22"/>
        </w:rPr>
      </w:pPr>
    </w:p>
    <w:p w14:paraId="132FEA7C"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304341FB" w14:textId="77777777" w:rsidR="00B83F26" w:rsidRPr="00D53952" w:rsidRDefault="00B83F26" w:rsidP="001A4873">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1F471719" w14:textId="77777777" w:rsidR="00893A83" w:rsidRPr="00D53952" w:rsidRDefault="00B83F26" w:rsidP="005077E5">
      <w:pPr>
        <w:pStyle w:val="Zkladntext"/>
        <w:tabs>
          <w:tab w:val="left" w:pos="426"/>
        </w:tabs>
        <w:spacing w:line="276" w:lineRule="auto"/>
        <w:rPr>
          <w:rFonts w:ascii="Arial" w:hAnsi="Arial" w:cs="Arial"/>
          <w:b w:val="0"/>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r>
      <w:r w:rsidRPr="00D53952">
        <w:rPr>
          <w:rFonts w:ascii="Arial" w:hAnsi="Arial" w:cs="Arial"/>
          <w:b w:val="0"/>
          <w:sz w:val="22"/>
          <w:szCs w:val="22"/>
        </w:rPr>
        <w:t>(objednatel)</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054DD68E" w14:textId="77777777" w:rsidR="003B7D9D" w:rsidRPr="00D53952" w:rsidRDefault="003B7D9D" w:rsidP="005077E5">
      <w:pPr>
        <w:pStyle w:val="Zkladntext"/>
        <w:tabs>
          <w:tab w:val="left" w:pos="426"/>
        </w:tabs>
        <w:spacing w:line="276" w:lineRule="auto"/>
        <w:rPr>
          <w:rFonts w:ascii="Arial" w:hAnsi="Arial" w:cs="Arial"/>
          <w:b w:val="0"/>
          <w:sz w:val="22"/>
          <w:szCs w:val="22"/>
        </w:rPr>
      </w:pPr>
    </w:p>
    <w:sectPr w:rsidR="003B7D9D" w:rsidRPr="00D53952" w:rsidSect="00EB64F1">
      <w:footerReference w:type="even" r:id="rId11"/>
      <w:footerReference w:type="default" r:id="rId12"/>
      <w:headerReference w:type="first" r:id="rId13"/>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ABDC7C" w14:textId="77777777" w:rsidR="008F7F7F" w:rsidRDefault="008F7F7F" w:rsidP="00B83F26">
      <w:r>
        <w:separator/>
      </w:r>
    </w:p>
  </w:endnote>
  <w:endnote w:type="continuationSeparator" w:id="0">
    <w:p w14:paraId="67B97795" w14:textId="77777777" w:rsidR="008F7F7F" w:rsidRDefault="008F7F7F"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18439C" w14:textId="77777777" w:rsidR="008F7F7F" w:rsidRDefault="008F7F7F" w:rsidP="00B83F26">
      <w:r>
        <w:separator/>
      </w:r>
    </w:p>
  </w:footnote>
  <w:footnote w:type="continuationSeparator" w:id="0">
    <w:p w14:paraId="270DD271" w14:textId="77777777" w:rsidR="008F7F7F" w:rsidRDefault="008F7F7F"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51316A" w14:textId="388E889B" w:rsidR="000C4B33" w:rsidRPr="00D53952" w:rsidRDefault="00450827" w:rsidP="00DD34EC">
    <w:pPr>
      <w:pStyle w:val="Zhlav"/>
      <w:rPr>
        <w:rFonts w:ascii="Arial" w:hAnsi="Arial" w:cs="Arial"/>
        <w:sz w:val="22"/>
        <w:szCs w:val="22"/>
      </w:rPr>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 xml:space="preserve"> Č</w:t>
    </w:r>
    <w:r w:rsidR="000C4B33" w:rsidRPr="00D53952">
      <w:rPr>
        <w:rFonts w:ascii="Arial" w:hAnsi="Arial" w:cs="Arial"/>
        <w:sz w:val="22"/>
        <w:szCs w:val="22"/>
      </w:rPr>
      <w:t>.j. objednatele:</w:t>
    </w:r>
  </w:p>
  <w:p w14:paraId="0FE1921E" w14:textId="13D89B13" w:rsidR="00012340" w:rsidRDefault="000C4B33" w:rsidP="00DD34EC">
    <w:pPr>
      <w:pStyle w:val="Zhlav"/>
    </w:pPr>
    <w:r w:rsidRPr="00D53952">
      <w:rPr>
        <w:rFonts w:ascii="Arial" w:hAnsi="Arial" w:cs="Arial"/>
        <w:sz w:val="22"/>
        <w:szCs w:val="22"/>
      </w:rPr>
      <w:t xml:space="preserve">                                                                                                               </w:t>
    </w:r>
    <w:r w:rsidR="00D53952">
      <w:rPr>
        <w:rFonts w:ascii="Arial" w:hAnsi="Arial" w:cs="Arial"/>
        <w:sz w:val="22"/>
        <w:szCs w:val="22"/>
      </w:rPr>
      <w:t xml:space="preserve">                 </w:t>
    </w:r>
    <w:r w:rsidRPr="00D53952">
      <w:rPr>
        <w:rFonts w:ascii="Arial" w:hAnsi="Arial" w:cs="Arial"/>
        <w:sz w:val="22"/>
        <w:szCs w:val="22"/>
      </w:rPr>
      <w:t>Č.j. zhotovitele:</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522A934E"/>
    <w:lvl w:ilvl="0" w:tplc="50B005A4">
      <w:start w:val="1"/>
      <w:numFmt w:val="decimal"/>
      <w:lvlText w:val="4.%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0BFAF008"/>
    <w:lvl w:ilvl="0">
      <w:start w:val="1"/>
      <w:numFmt w:val="decimal"/>
      <w:lvlText w:val="6.%1"/>
      <w:lvlJc w:val="left"/>
      <w:pPr>
        <w:tabs>
          <w:tab w:val="num" w:pos="366"/>
        </w:tabs>
        <w:ind w:left="366" w:hanging="360"/>
      </w:pPr>
      <w:rPr>
        <w:rFonts w:ascii="Times New Roman" w:eastAsia="Times New Roman" w:hAnsi="Times New Roman" w:cs="Times New Roman" w:hint="default"/>
        <w:b w:val="0"/>
        <w:color w:val="auto"/>
        <w:sz w:val="24"/>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A77CB30A"/>
    <w:lvl w:ilvl="0" w:tplc="884E780A">
      <w:start w:val="1"/>
      <w:numFmt w:val="decimal"/>
      <w:lvlText w:val="3.%1"/>
      <w:lvlJc w:val="left"/>
      <w:pPr>
        <w:ind w:left="644"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C4C2C70E"/>
    <w:lvl w:ilvl="0" w:tplc="9DE4CB1E">
      <w:start w:val="1"/>
      <w:numFmt w:val="decimal"/>
      <w:lvlText w:val="5.%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46DCF886"/>
    <w:lvl w:ilvl="0" w:tplc="2E1C47D8">
      <w:start w:val="1"/>
      <w:numFmt w:val="decimal"/>
      <w:lvlText w:val="7.%1"/>
      <w:lvlJc w:val="lef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14"/>
  </w:num>
  <w:num w:numId="4">
    <w:abstractNumId w:val="4"/>
  </w:num>
  <w:num w:numId="5">
    <w:abstractNumId w:val="1"/>
  </w:num>
  <w:num w:numId="6">
    <w:abstractNumId w:val="3"/>
  </w:num>
  <w:num w:numId="7">
    <w:abstractNumId w:val="11"/>
  </w:num>
  <w:num w:numId="8">
    <w:abstractNumId w:val="20"/>
  </w:num>
  <w:num w:numId="9">
    <w:abstractNumId w:val="24"/>
  </w:num>
  <w:num w:numId="10">
    <w:abstractNumId w:val="34"/>
  </w:num>
  <w:num w:numId="11">
    <w:abstractNumId w:val="21"/>
  </w:num>
  <w:num w:numId="12">
    <w:abstractNumId w:val="35"/>
  </w:num>
  <w:num w:numId="13">
    <w:abstractNumId w:val="17"/>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num>
  <w:num w:numId="17">
    <w:abstractNumId w:val="9"/>
  </w:num>
  <w:num w:numId="18">
    <w:abstractNumId w:val="0"/>
  </w:num>
  <w:num w:numId="19">
    <w:abstractNumId w:val="18"/>
  </w:num>
  <w:num w:numId="20">
    <w:abstractNumId w:val="7"/>
  </w:num>
  <w:num w:numId="21">
    <w:abstractNumId w:val="5"/>
  </w:num>
  <w:num w:numId="22">
    <w:abstractNumId w:val="10"/>
  </w:num>
  <w:num w:numId="23">
    <w:abstractNumId w:val="16"/>
  </w:num>
  <w:num w:numId="24">
    <w:abstractNumId w:val="13"/>
  </w:num>
  <w:num w:numId="25">
    <w:abstractNumId w:val="36"/>
  </w:num>
  <w:num w:numId="26">
    <w:abstractNumId w:val="25"/>
  </w:num>
  <w:num w:numId="27">
    <w:abstractNumId w:val="29"/>
  </w:num>
  <w:num w:numId="28">
    <w:abstractNumId w:val="8"/>
  </w:num>
  <w:num w:numId="29">
    <w:abstractNumId w:val="22"/>
  </w:num>
  <w:num w:numId="30">
    <w:abstractNumId w:val="23"/>
  </w:num>
  <w:num w:numId="31">
    <w:abstractNumId w:val="33"/>
  </w:num>
  <w:num w:numId="32">
    <w:abstractNumId w:val="32"/>
  </w:num>
  <w:num w:numId="33">
    <w:abstractNumId w:val="6"/>
  </w:num>
  <w:num w:numId="34">
    <w:abstractNumId w:val="26"/>
  </w:num>
  <w:num w:numId="35">
    <w:abstractNumId w:val="31"/>
  </w:num>
  <w:num w:numId="36">
    <w:abstractNumId w:val="27"/>
  </w:num>
  <w:num w:numId="37">
    <w:abstractNumId w:val="2"/>
  </w:num>
  <w:num w:numId="38">
    <w:abstractNumId w:val="12"/>
  </w:num>
  <w:num w:numId="39">
    <w:abstractNumId w:val="28"/>
  </w:num>
  <w:num w:numId="40">
    <w:abstractNumId w:val="30"/>
  </w:num>
  <w:num w:numId="4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0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618A9"/>
    <w:rsid w:val="00063376"/>
    <w:rsid w:val="00087A0A"/>
    <w:rsid w:val="00090512"/>
    <w:rsid w:val="00093C5B"/>
    <w:rsid w:val="000B3316"/>
    <w:rsid w:val="000B3EB9"/>
    <w:rsid w:val="000B47D7"/>
    <w:rsid w:val="000C4B33"/>
    <w:rsid w:val="000E6467"/>
    <w:rsid w:val="000F1247"/>
    <w:rsid w:val="00126A2D"/>
    <w:rsid w:val="0012753E"/>
    <w:rsid w:val="001348A2"/>
    <w:rsid w:val="00165F4C"/>
    <w:rsid w:val="00167C3A"/>
    <w:rsid w:val="00181A77"/>
    <w:rsid w:val="00185DB2"/>
    <w:rsid w:val="001A4873"/>
    <w:rsid w:val="001A5183"/>
    <w:rsid w:val="001D363B"/>
    <w:rsid w:val="001D6745"/>
    <w:rsid w:val="001E4DC2"/>
    <w:rsid w:val="001E6314"/>
    <w:rsid w:val="001F43CE"/>
    <w:rsid w:val="00206E65"/>
    <w:rsid w:val="002112DC"/>
    <w:rsid w:val="00213D92"/>
    <w:rsid w:val="0021725F"/>
    <w:rsid w:val="002213F5"/>
    <w:rsid w:val="002233D7"/>
    <w:rsid w:val="00223F47"/>
    <w:rsid w:val="00234282"/>
    <w:rsid w:val="00254993"/>
    <w:rsid w:val="00270033"/>
    <w:rsid w:val="002876AC"/>
    <w:rsid w:val="002A41D1"/>
    <w:rsid w:val="002B171C"/>
    <w:rsid w:val="002B1C6A"/>
    <w:rsid w:val="002B264E"/>
    <w:rsid w:val="002B7370"/>
    <w:rsid w:val="002C491C"/>
    <w:rsid w:val="002C59E8"/>
    <w:rsid w:val="002E0BCE"/>
    <w:rsid w:val="002E2A05"/>
    <w:rsid w:val="00304813"/>
    <w:rsid w:val="00305045"/>
    <w:rsid w:val="00306498"/>
    <w:rsid w:val="0032529C"/>
    <w:rsid w:val="00331E57"/>
    <w:rsid w:val="00341911"/>
    <w:rsid w:val="00341FEF"/>
    <w:rsid w:val="003511BE"/>
    <w:rsid w:val="00354996"/>
    <w:rsid w:val="003611E2"/>
    <w:rsid w:val="00363183"/>
    <w:rsid w:val="003A4E29"/>
    <w:rsid w:val="003B5990"/>
    <w:rsid w:val="003B7D9D"/>
    <w:rsid w:val="003C1770"/>
    <w:rsid w:val="003C703B"/>
    <w:rsid w:val="003D0CAE"/>
    <w:rsid w:val="003D0FED"/>
    <w:rsid w:val="003E6377"/>
    <w:rsid w:val="003E757C"/>
    <w:rsid w:val="00430EE4"/>
    <w:rsid w:val="0043137E"/>
    <w:rsid w:val="004453EA"/>
    <w:rsid w:val="00445932"/>
    <w:rsid w:val="00450827"/>
    <w:rsid w:val="00455871"/>
    <w:rsid w:val="00457F60"/>
    <w:rsid w:val="0046360C"/>
    <w:rsid w:val="00463AB0"/>
    <w:rsid w:val="004652FB"/>
    <w:rsid w:val="004853B1"/>
    <w:rsid w:val="004907AC"/>
    <w:rsid w:val="004A5779"/>
    <w:rsid w:val="004B49E7"/>
    <w:rsid w:val="004D6A6C"/>
    <w:rsid w:val="004E2267"/>
    <w:rsid w:val="005077E5"/>
    <w:rsid w:val="0051649A"/>
    <w:rsid w:val="00523990"/>
    <w:rsid w:val="00530002"/>
    <w:rsid w:val="00531C6F"/>
    <w:rsid w:val="005444EE"/>
    <w:rsid w:val="0054478C"/>
    <w:rsid w:val="00571FFD"/>
    <w:rsid w:val="00572C8B"/>
    <w:rsid w:val="00574F3E"/>
    <w:rsid w:val="00577773"/>
    <w:rsid w:val="00587429"/>
    <w:rsid w:val="005A4779"/>
    <w:rsid w:val="005C23CD"/>
    <w:rsid w:val="005D328A"/>
    <w:rsid w:val="005E3D3B"/>
    <w:rsid w:val="005F687B"/>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1D8A"/>
    <w:rsid w:val="00721C31"/>
    <w:rsid w:val="007261A8"/>
    <w:rsid w:val="007421FE"/>
    <w:rsid w:val="0075149E"/>
    <w:rsid w:val="00752BF7"/>
    <w:rsid w:val="00761ABA"/>
    <w:rsid w:val="007A798D"/>
    <w:rsid w:val="007C3ECF"/>
    <w:rsid w:val="007C5C7F"/>
    <w:rsid w:val="007C76EF"/>
    <w:rsid w:val="007E17D6"/>
    <w:rsid w:val="007E33A0"/>
    <w:rsid w:val="007F521D"/>
    <w:rsid w:val="00814C88"/>
    <w:rsid w:val="00815E94"/>
    <w:rsid w:val="00815F47"/>
    <w:rsid w:val="00816B62"/>
    <w:rsid w:val="008362F5"/>
    <w:rsid w:val="0083782B"/>
    <w:rsid w:val="008442E9"/>
    <w:rsid w:val="00851E49"/>
    <w:rsid w:val="00854DB6"/>
    <w:rsid w:val="0085556B"/>
    <w:rsid w:val="00865AAA"/>
    <w:rsid w:val="008779A3"/>
    <w:rsid w:val="00883471"/>
    <w:rsid w:val="00893A83"/>
    <w:rsid w:val="00895C11"/>
    <w:rsid w:val="008A1D16"/>
    <w:rsid w:val="008A6DC3"/>
    <w:rsid w:val="008B33FA"/>
    <w:rsid w:val="008C6924"/>
    <w:rsid w:val="008E13A4"/>
    <w:rsid w:val="008E5BF1"/>
    <w:rsid w:val="008F3E92"/>
    <w:rsid w:val="008F7F7F"/>
    <w:rsid w:val="0090074B"/>
    <w:rsid w:val="00935646"/>
    <w:rsid w:val="00941C88"/>
    <w:rsid w:val="0094234F"/>
    <w:rsid w:val="00944D3F"/>
    <w:rsid w:val="009470ED"/>
    <w:rsid w:val="0096175E"/>
    <w:rsid w:val="009671A1"/>
    <w:rsid w:val="00971F2E"/>
    <w:rsid w:val="009736F8"/>
    <w:rsid w:val="00987DA1"/>
    <w:rsid w:val="00992D32"/>
    <w:rsid w:val="0099495F"/>
    <w:rsid w:val="009B4D42"/>
    <w:rsid w:val="009C0CA5"/>
    <w:rsid w:val="009F145A"/>
    <w:rsid w:val="00A00B86"/>
    <w:rsid w:val="00A1694B"/>
    <w:rsid w:val="00A35BCB"/>
    <w:rsid w:val="00A375D5"/>
    <w:rsid w:val="00A45D1B"/>
    <w:rsid w:val="00A87806"/>
    <w:rsid w:val="00AB0C9F"/>
    <w:rsid w:val="00AB3F7B"/>
    <w:rsid w:val="00AB6118"/>
    <w:rsid w:val="00AC3DCD"/>
    <w:rsid w:val="00AC6FB4"/>
    <w:rsid w:val="00AC7F9E"/>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E0939"/>
    <w:rsid w:val="00BE6C6B"/>
    <w:rsid w:val="00C03C2A"/>
    <w:rsid w:val="00C16AF5"/>
    <w:rsid w:val="00C17C65"/>
    <w:rsid w:val="00C276DF"/>
    <w:rsid w:val="00C557D2"/>
    <w:rsid w:val="00C709CD"/>
    <w:rsid w:val="00C8621E"/>
    <w:rsid w:val="00C95B0E"/>
    <w:rsid w:val="00CB3BB5"/>
    <w:rsid w:val="00CB4F7C"/>
    <w:rsid w:val="00CC3E8C"/>
    <w:rsid w:val="00CE7F49"/>
    <w:rsid w:val="00CF0417"/>
    <w:rsid w:val="00CF205B"/>
    <w:rsid w:val="00D0196C"/>
    <w:rsid w:val="00D01ACB"/>
    <w:rsid w:val="00D2184E"/>
    <w:rsid w:val="00D274CE"/>
    <w:rsid w:val="00D32776"/>
    <w:rsid w:val="00D53952"/>
    <w:rsid w:val="00D5611A"/>
    <w:rsid w:val="00D64398"/>
    <w:rsid w:val="00D90CCC"/>
    <w:rsid w:val="00D91798"/>
    <w:rsid w:val="00D93301"/>
    <w:rsid w:val="00DC3B65"/>
    <w:rsid w:val="00DD34EC"/>
    <w:rsid w:val="00DE5176"/>
    <w:rsid w:val="00DF4A58"/>
    <w:rsid w:val="00E06DC1"/>
    <w:rsid w:val="00E07AA6"/>
    <w:rsid w:val="00E11AED"/>
    <w:rsid w:val="00E32D43"/>
    <w:rsid w:val="00E376F5"/>
    <w:rsid w:val="00E6214B"/>
    <w:rsid w:val="00E724F1"/>
    <w:rsid w:val="00E74E11"/>
    <w:rsid w:val="00E75F8D"/>
    <w:rsid w:val="00EA401B"/>
    <w:rsid w:val="00EB64F1"/>
    <w:rsid w:val="00EC3260"/>
    <w:rsid w:val="00EC535B"/>
    <w:rsid w:val="00EE1539"/>
    <w:rsid w:val="00EF1A5F"/>
    <w:rsid w:val="00EF315E"/>
    <w:rsid w:val="00EF3698"/>
    <w:rsid w:val="00EF7CB8"/>
    <w:rsid w:val="00F133C5"/>
    <w:rsid w:val="00F25344"/>
    <w:rsid w:val="00F31B94"/>
    <w:rsid w:val="00F60711"/>
    <w:rsid w:val="00F627CD"/>
    <w:rsid w:val="00F66E65"/>
    <w:rsid w:val="00FB40B2"/>
    <w:rsid w:val="00FC3888"/>
    <w:rsid w:val="00FD23A6"/>
    <w:rsid w:val="00FE51BB"/>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B83F26"/>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nhideWhenUsed/>
    <w:rsid w:val="009F145A"/>
  </w:style>
  <w:style w:type="character" w:customStyle="1" w:styleId="TextkomenteChar">
    <w:name w:val="Text komentáře Char"/>
    <w:basedOn w:val="Standardnpsmoodstavce"/>
    <w:link w:val="Textkomente"/>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514269720">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69a2d0682a4317adf9d1560a5671fbf9">
  <xsd:schema xmlns:xsd="http://www.w3.org/2001/XMLSchema" xmlns:xs="http://www.w3.org/2001/XMLSchema" xmlns:p="http://schemas.microsoft.com/office/2006/metadata/properties" xmlns:ns2="8d690c5f-7846-456b-922c-7f81e7b73eda" targetNamespace="http://schemas.microsoft.com/office/2006/metadata/properties" ma:root="true" ma:fieldsID="75ce430d2bf34d552cbc3eb0a0c0cab8"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04495-9BFE-416C-8C02-A2E6D1A978E1}">
  <ds:schemaRefs>
    <ds:schemaRef ds:uri="http://schemas.microsoft.com/sharepoint/v3/contenttype/forms"/>
  </ds:schemaRefs>
</ds:datastoreItem>
</file>

<file path=customXml/itemProps2.xml><?xml version="1.0" encoding="utf-8"?>
<ds:datastoreItem xmlns:ds="http://schemas.openxmlformats.org/officeDocument/2006/customXml" ds:itemID="{A5DEE096-B65D-4163-A01B-356F364A93F1}">
  <ds:schemaRefs>
    <ds:schemaRef ds:uri="http://purl.org/dc/dcmitype/"/>
    <ds:schemaRef ds:uri="http://schemas.microsoft.com/office/infopath/2007/PartnerControls"/>
    <ds:schemaRef ds:uri="http://schemas.microsoft.com/office/2006/documentManagement/types"/>
    <ds:schemaRef ds:uri="8d690c5f-7846-456b-922c-7f81e7b73eda"/>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A8C73A6-3C25-4AAB-AC8F-FFDC96979E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7ADB8A3-D240-45B4-8611-80F77FD52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8</Pages>
  <Words>3073</Words>
  <Characters>18133</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vt:lpstr>
    </vt:vector>
  </TitlesOfParts>
  <Company/>
  <LinksUpToDate>false</LinksUpToDate>
  <CharactersWithSpaces>21164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c:title>
  <dc:creator>zhebelkova</dc:creator>
  <cp:lastModifiedBy>Čadová Renata Ing.</cp:lastModifiedBy>
  <cp:revision>3</cp:revision>
  <cp:lastPrinted>2015-03-16T09:25:00Z</cp:lastPrinted>
  <dcterms:created xsi:type="dcterms:W3CDTF">2019-10-01T11:06:00Z</dcterms:created>
  <dcterms:modified xsi:type="dcterms:W3CDTF">2020-05-05T09:47:00Z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